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47" w:rsidRDefault="00663C47" w:rsidP="00663C47">
      <w:pPr>
        <w:spacing w:after="0" w:line="240" w:lineRule="auto"/>
        <w:jc w:val="center"/>
        <w:outlineLvl w:val="1"/>
        <w:rPr>
          <w:rFonts w:ascii="Verdana" w:eastAsia="Times New Roman" w:hAnsi="Verdana" w:cs="Times New Roman"/>
          <w:color w:val="FF591F"/>
          <w:sz w:val="36"/>
          <w:szCs w:val="52"/>
          <w:lang w:eastAsia="fr-FR"/>
        </w:rPr>
      </w:pPr>
      <w:bookmarkStart w:id="0" w:name="_GoBack"/>
      <w:bookmarkEnd w:id="0"/>
      <w:r w:rsidRPr="00606FC4">
        <w:rPr>
          <w:rFonts w:ascii="Verdana" w:eastAsia="Times New Roman" w:hAnsi="Verdana" w:cs="Times New Roman"/>
          <w:color w:val="FF591F"/>
          <w:sz w:val="36"/>
          <w:szCs w:val="52"/>
          <w:lang w:eastAsia="fr-FR"/>
        </w:rPr>
        <w:t xml:space="preserve">Redevance d’Occupation du </w:t>
      </w:r>
    </w:p>
    <w:p w:rsidR="00663C47" w:rsidRDefault="00663C47" w:rsidP="00663C47">
      <w:pPr>
        <w:spacing w:after="0" w:line="240" w:lineRule="auto"/>
        <w:jc w:val="center"/>
        <w:outlineLvl w:val="1"/>
        <w:rPr>
          <w:rFonts w:ascii="Verdana" w:eastAsia="Times New Roman" w:hAnsi="Verdana" w:cs="Times New Roman"/>
          <w:color w:val="FF591F"/>
          <w:sz w:val="36"/>
          <w:szCs w:val="52"/>
          <w:lang w:eastAsia="fr-FR"/>
        </w:rPr>
      </w:pPr>
      <w:r w:rsidRPr="00606FC4">
        <w:rPr>
          <w:rFonts w:ascii="Verdana" w:eastAsia="Times New Roman" w:hAnsi="Verdana" w:cs="Times New Roman"/>
          <w:color w:val="FF591F"/>
          <w:sz w:val="36"/>
          <w:szCs w:val="52"/>
          <w:lang w:eastAsia="fr-FR"/>
        </w:rPr>
        <w:t xml:space="preserve">Domaine Public </w:t>
      </w:r>
      <w:r>
        <w:rPr>
          <w:rFonts w:ascii="Verdana" w:eastAsia="Times New Roman" w:hAnsi="Verdana" w:cs="Times New Roman"/>
          <w:color w:val="FF591F"/>
          <w:sz w:val="36"/>
          <w:szCs w:val="52"/>
          <w:lang w:eastAsia="fr-FR"/>
        </w:rPr>
        <w:t xml:space="preserve">(RODP) </w:t>
      </w:r>
    </w:p>
    <w:p w:rsidR="00663C47" w:rsidRDefault="00700714" w:rsidP="00663C47">
      <w:pPr>
        <w:spacing w:after="0" w:line="240" w:lineRule="auto"/>
        <w:jc w:val="center"/>
        <w:outlineLvl w:val="1"/>
        <w:rPr>
          <w:rFonts w:ascii="Verdana" w:eastAsia="Times New Roman" w:hAnsi="Verdana" w:cs="Times New Roman"/>
          <w:color w:val="FF591F"/>
          <w:sz w:val="36"/>
          <w:szCs w:val="52"/>
          <w:lang w:eastAsia="fr-FR"/>
        </w:rPr>
      </w:pPr>
      <w:r>
        <w:rPr>
          <w:rFonts w:ascii="Verdana" w:eastAsia="Times New Roman" w:hAnsi="Verdana" w:cs="Times New Roman"/>
          <w:color w:val="FF591F"/>
          <w:sz w:val="36"/>
          <w:szCs w:val="52"/>
          <w:u w:val="single"/>
          <w:lang w:eastAsia="fr-FR"/>
        </w:rPr>
        <w:t>Gaz</w:t>
      </w:r>
      <w:r w:rsidR="00663C47">
        <w:rPr>
          <w:rFonts w:ascii="Verdana" w:eastAsia="Times New Roman" w:hAnsi="Verdana" w:cs="Times New Roman"/>
          <w:color w:val="FF591F"/>
          <w:sz w:val="36"/>
          <w:szCs w:val="52"/>
          <w:u w:val="single"/>
          <w:lang w:eastAsia="fr-FR"/>
        </w:rPr>
        <w:t xml:space="preserve"> 2019</w:t>
      </w:r>
    </w:p>
    <w:p w:rsidR="00663C47" w:rsidRPr="00606FC4" w:rsidRDefault="00663C47" w:rsidP="00663C47">
      <w:pPr>
        <w:spacing w:after="0" w:line="240" w:lineRule="auto"/>
        <w:jc w:val="center"/>
        <w:outlineLvl w:val="1"/>
        <w:rPr>
          <w:rFonts w:ascii="Verdana" w:eastAsia="Times New Roman" w:hAnsi="Verdana" w:cs="Times New Roman"/>
          <w:color w:val="FF591F"/>
          <w:sz w:val="36"/>
          <w:szCs w:val="52"/>
          <w:lang w:eastAsia="fr-FR"/>
        </w:rPr>
      </w:pPr>
      <w:r w:rsidRPr="00606FC4">
        <w:rPr>
          <w:rFonts w:ascii="Verdana" w:eastAsia="Times New Roman" w:hAnsi="Verdana" w:cs="Times New Roman"/>
          <w:color w:val="FF591F"/>
          <w:sz w:val="36"/>
          <w:szCs w:val="52"/>
          <w:lang w:eastAsia="fr-FR"/>
        </w:rPr>
        <w:t>Fiche pratique</w:t>
      </w:r>
    </w:p>
    <w:p w:rsidR="00663C47" w:rsidRDefault="00663C47" w:rsidP="00663C47">
      <w:pPr>
        <w:pBdr>
          <w:bottom w:val="single" w:sz="12" w:space="1" w:color="FF591F"/>
        </w:pBdr>
        <w:shd w:val="clear" w:color="auto" w:fill="FFFFFF"/>
        <w:spacing w:after="0" w:line="240" w:lineRule="auto"/>
        <w:outlineLvl w:val="2"/>
        <w:rPr>
          <w:rFonts w:ascii="Verdana" w:eastAsia="Times New Roman" w:hAnsi="Verdana" w:cs="Times New Roman"/>
          <w:b/>
          <w:bCs/>
          <w:color w:val="FF591F"/>
          <w:sz w:val="34"/>
          <w:szCs w:val="34"/>
          <w:lang w:eastAsia="fr-FR"/>
        </w:rPr>
      </w:pPr>
      <w:bookmarkStart w:id="1" w:name="eztoc2459_1"/>
      <w:bookmarkEnd w:id="1"/>
    </w:p>
    <w:p w:rsidR="00663C47" w:rsidRDefault="00663C47" w:rsidP="00663C47">
      <w:pPr>
        <w:pBdr>
          <w:bottom w:val="single" w:sz="12" w:space="1" w:color="FF591F"/>
        </w:pBdr>
        <w:shd w:val="clear" w:color="auto" w:fill="FFFFFF"/>
        <w:spacing w:after="0" w:line="240" w:lineRule="auto"/>
        <w:outlineLvl w:val="2"/>
        <w:rPr>
          <w:rFonts w:ascii="Verdana" w:eastAsia="Times New Roman" w:hAnsi="Verdana" w:cs="Times New Roman"/>
          <w:b/>
          <w:bCs/>
          <w:color w:val="FF591F"/>
          <w:sz w:val="34"/>
          <w:szCs w:val="34"/>
          <w:lang w:eastAsia="fr-FR"/>
        </w:rPr>
      </w:pPr>
      <w:r>
        <w:rPr>
          <w:rFonts w:ascii="Verdana" w:eastAsia="Times New Roman" w:hAnsi="Verdana" w:cs="Times New Roman"/>
          <w:b/>
          <w:bCs/>
          <w:color w:val="FF591F"/>
          <w:sz w:val="34"/>
          <w:szCs w:val="34"/>
          <w:lang w:eastAsia="fr-FR"/>
        </w:rPr>
        <w:t xml:space="preserve">1/ </w:t>
      </w:r>
      <w:r w:rsidRPr="002F6FA5">
        <w:rPr>
          <w:rFonts w:ascii="Verdana" w:eastAsia="Times New Roman" w:hAnsi="Verdana" w:cs="Times New Roman"/>
          <w:b/>
          <w:bCs/>
          <w:color w:val="FF591F"/>
          <w:sz w:val="34"/>
          <w:szCs w:val="34"/>
          <w:lang w:eastAsia="fr-FR"/>
        </w:rPr>
        <w:t>Instauration de la redevance</w:t>
      </w:r>
    </w:p>
    <w:p w:rsidR="00663C47" w:rsidRPr="002F6FA5" w:rsidRDefault="00663C47" w:rsidP="00663C47">
      <w:pPr>
        <w:pBdr>
          <w:bottom w:val="single" w:sz="12" w:space="1" w:color="FF591F"/>
        </w:pBdr>
        <w:shd w:val="clear" w:color="auto" w:fill="FFFFFF"/>
        <w:spacing w:after="0" w:line="240" w:lineRule="auto"/>
        <w:outlineLvl w:val="2"/>
        <w:rPr>
          <w:rFonts w:ascii="Verdana" w:eastAsia="Times New Roman" w:hAnsi="Verdana" w:cs="Times New Roman"/>
          <w:b/>
          <w:bCs/>
          <w:color w:val="FF591F"/>
          <w:sz w:val="34"/>
          <w:szCs w:val="34"/>
          <w:lang w:eastAsia="fr-FR"/>
        </w:rPr>
      </w:pPr>
    </w:p>
    <w:tbl>
      <w:tblPr>
        <w:tblW w:w="5000" w:type="pct"/>
        <w:tblInd w:w="50" w:type="dxa"/>
        <w:tblBorders>
          <w:top w:val="single" w:sz="6" w:space="0" w:color="FF591F"/>
          <w:left w:val="single" w:sz="6" w:space="0" w:color="FF591F"/>
          <w:bottom w:val="single" w:sz="6" w:space="0" w:color="FF591F"/>
          <w:right w:val="single" w:sz="6" w:space="0" w:color="FF591F"/>
        </w:tblBorders>
        <w:shd w:val="clear" w:color="auto" w:fill="FFFFFF"/>
        <w:tblCellMar>
          <w:left w:w="0" w:type="dxa"/>
          <w:right w:w="0" w:type="dxa"/>
        </w:tblCellMar>
        <w:tblLook w:val="04A0" w:firstRow="1" w:lastRow="0" w:firstColumn="1" w:lastColumn="0" w:noHBand="0" w:noVBand="1"/>
      </w:tblPr>
      <w:tblGrid>
        <w:gridCol w:w="9056"/>
      </w:tblGrid>
      <w:tr w:rsidR="00663C47" w:rsidRPr="002A0A71" w:rsidTr="008060E3">
        <w:trPr>
          <w:trHeight w:val="1236"/>
        </w:trPr>
        <w:tc>
          <w:tcPr>
            <w:tcW w:w="0" w:type="auto"/>
            <w:tcBorders>
              <w:top w:val="nil"/>
              <w:left w:val="single" w:sz="6" w:space="0" w:color="FF591F"/>
              <w:bottom w:val="nil"/>
              <w:right w:val="single" w:sz="6" w:space="0" w:color="FF591F"/>
            </w:tcBorders>
            <w:shd w:val="clear" w:color="auto" w:fill="FADCD0"/>
            <w:tcMar>
              <w:top w:w="120" w:type="dxa"/>
              <w:left w:w="120" w:type="dxa"/>
              <w:bottom w:w="120" w:type="dxa"/>
              <w:right w:w="120" w:type="dxa"/>
            </w:tcMar>
            <w:hideMark/>
          </w:tcPr>
          <w:p w:rsidR="00663C47" w:rsidRDefault="00663C47" w:rsidP="00700714">
            <w:pPr>
              <w:spacing w:after="0" w:line="240" w:lineRule="auto"/>
              <w:rPr>
                <w:rFonts w:ascii="Verdana" w:eastAsia="Times New Roman" w:hAnsi="Verdana" w:cs="Times New Roman"/>
                <w:b/>
                <w:bCs/>
                <w:color w:val="4C4C4C"/>
                <w:sz w:val="16"/>
                <w:szCs w:val="16"/>
                <w:bdr w:val="none" w:sz="0" w:space="0" w:color="auto" w:frame="1"/>
                <w:lang w:eastAsia="fr-FR"/>
              </w:rPr>
            </w:pPr>
            <w:r w:rsidRPr="002A0A71">
              <w:rPr>
                <w:rFonts w:ascii="Verdana" w:eastAsia="Times New Roman" w:hAnsi="Verdana" w:cs="Times New Roman"/>
                <w:b/>
                <w:bCs/>
                <w:color w:val="4C4C4C"/>
                <w:sz w:val="16"/>
                <w:szCs w:val="16"/>
                <w:bdr w:val="none" w:sz="0" w:space="0" w:color="auto" w:frame="1"/>
                <w:lang w:eastAsia="fr-FR"/>
              </w:rPr>
              <w:t>Pour le calcul de cette RODP, nous vous invitons :</w:t>
            </w:r>
          </w:p>
          <w:p w:rsidR="008060E3" w:rsidRPr="002A0A71" w:rsidRDefault="008060E3" w:rsidP="00700714">
            <w:pPr>
              <w:spacing w:after="0" w:line="240" w:lineRule="auto"/>
              <w:rPr>
                <w:rFonts w:ascii="Verdana" w:eastAsia="Times New Roman" w:hAnsi="Verdana" w:cs="Times New Roman"/>
                <w:b/>
                <w:bCs/>
                <w:color w:val="4C4C4C"/>
                <w:sz w:val="16"/>
                <w:szCs w:val="16"/>
                <w:bdr w:val="none" w:sz="0" w:space="0" w:color="auto" w:frame="1"/>
                <w:lang w:eastAsia="fr-FR"/>
              </w:rPr>
            </w:pPr>
          </w:p>
          <w:p w:rsidR="00700714" w:rsidRPr="00700714" w:rsidRDefault="00663C47" w:rsidP="00663C47">
            <w:pPr>
              <w:pStyle w:val="Paragraphedeliste"/>
              <w:numPr>
                <w:ilvl w:val="0"/>
                <w:numId w:val="5"/>
              </w:numPr>
              <w:spacing w:after="0" w:line="240" w:lineRule="auto"/>
              <w:rPr>
                <w:rFonts w:ascii="Verdana" w:eastAsia="Times New Roman" w:hAnsi="Verdana" w:cs="Times New Roman"/>
                <w:color w:val="4C4C4C"/>
                <w:sz w:val="16"/>
                <w:szCs w:val="16"/>
                <w:lang w:eastAsia="fr-FR"/>
              </w:rPr>
            </w:pPr>
            <w:r w:rsidRPr="002A0A71">
              <w:rPr>
                <w:rFonts w:ascii="Verdana" w:eastAsia="Times New Roman" w:hAnsi="Verdana" w:cs="Times New Roman"/>
                <w:color w:val="4C4C4C"/>
                <w:sz w:val="16"/>
                <w:szCs w:val="16"/>
                <w:lang w:eastAsia="fr-FR"/>
              </w:rPr>
              <w:t xml:space="preserve">A vous reporter </w:t>
            </w:r>
            <w:r w:rsidR="00700714">
              <w:rPr>
                <w:rFonts w:ascii="Verdana" w:eastAsia="Times New Roman" w:hAnsi="Verdana" w:cs="Times New Roman"/>
                <w:color w:val="4C4C4C"/>
                <w:sz w:val="16"/>
                <w:szCs w:val="16"/>
                <w:lang w:eastAsia="fr-FR"/>
              </w:rPr>
              <w:t xml:space="preserve">aux </w:t>
            </w:r>
            <w:r w:rsidR="00700714" w:rsidRPr="00700714">
              <w:rPr>
                <w:rFonts w:ascii="Verdana" w:eastAsia="Times New Roman" w:hAnsi="Verdana" w:cs="Times New Roman"/>
                <w:iCs/>
                <w:color w:val="4C4C4C"/>
                <w:sz w:val="16"/>
                <w:szCs w:val="16"/>
                <w:lang w:eastAsia="fr-FR"/>
              </w:rPr>
              <w:t>longueur</w:t>
            </w:r>
            <w:r w:rsidR="00700714">
              <w:rPr>
                <w:rFonts w:ascii="Verdana" w:eastAsia="Times New Roman" w:hAnsi="Verdana" w:cs="Times New Roman"/>
                <w:iCs/>
                <w:color w:val="4C4C4C"/>
                <w:sz w:val="16"/>
                <w:szCs w:val="16"/>
                <w:lang w:eastAsia="fr-FR"/>
              </w:rPr>
              <w:t>s</w:t>
            </w:r>
            <w:r w:rsidR="00700714" w:rsidRPr="00700714">
              <w:rPr>
                <w:rFonts w:ascii="Verdana" w:eastAsia="Times New Roman" w:hAnsi="Verdana" w:cs="Times New Roman"/>
                <w:iCs/>
                <w:color w:val="4C4C4C"/>
                <w:sz w:val="16"/>
                <w:szCs w:val="16"/>
                <w:lang w:eastAsia="fr-FR"/>
              </w:rPr>
              <w:t xml:space="preserve"> en mètres des canalisations situées sur le domaine public communal</w:t>
            </w:r>
          </w:p>
          <w:p w:rsidR="00663C47" w:rsidRPr="002A0A71" w:rsidRDefault="00663C47" w:rsidP="00663C47">
            <w:pPr>
              <w:pStyle w:val="Paragraphedeliste"/>
              <w:numPr>
                <w:ilvl w:val="0"/>
                <w:numId w:val="5"/>
              </w:numPr>
              <w:spacing w:after="0" w:line="240" w:lineRule="auto"/>
              <w:rPr>
                <w:rFonts w:ascii="Verdana" w:eastAsia="Times New Roman" w:hAnsi="Verdana" w:cs="Times New Roman"/>
                <w:color w:val="4C4C4C"/>
                <w:sz w:val="16"/>
                <w:szCs w:val="16"/>
                <w:lang w:eastAsia="fr-FR"/>
              </w:rPr>
            </w:pPr>
            <w:r w:rsidRPr="002A0A71">
              <w:rPr>
                <w:rFonts w:ascii="Verdana" w:eastAsia="Times New Roman" w:hAnsi="Verdana" w:cs="Times New Roman"/>
                <w:color w:val="4C4C4C"/>
                <w:sz w:val="16"/>
                <w:szCs w:val="16"/>
                <w:lang w:eastAsia="fr-FR"/>
              </w:rPr>
              <w:t>A prendre une délibération portant fixation du montant de cette redevance,</w:t>
            </w:r>
          </w:p>
          <w:p w:rsidR="00663C47" w:rsidRPr="002A0A71" w:rsidRDefault="00663C47" w:rsidP="00700714">
            <w:pPr>
              <w:pStyle w:val="Paragraphedeliste"/>
              <w:numPr>
                <w:ilvl w:val="0"/>
                <w:numId w:val="5"/>
              </w:numPr>
              <w:spacing w:after="0" w:line="240" w:lineRule="auto"/>
              <w:rPr>
                <w:rFonts w:ascii="Verdana" w:eastAsia="Times New Roman" w:hAnsi="Verdana" w:cs="Times New Roman"/>
                <w:color w:val="4C4C4C"/>
                <w:sz w:val="16"/>
                <w:szCs w:val="16"/>
                <w:lang w:eastAsia="fr-FR"/>
              </w:rPr>
            </w:pPr>
            <w:r w:rsidRPr="002A0A71">
              <w:rPr>
                <w:rFonts w:ascii="Verdana" w:eastAsia="Times New Roman" w:hAnsi="Verdana" w:cs="Times New Roman"/>
                <w:color w:val="4C4C4C"/>
                <w:sz w:val="16"/>
                <w:szCs w:val="16"/>
                <w:lang w:eastAsia="fr-FR"/>
              </w:rPr>
              <w:t>A émettre un titre de recettes et le transmettre au Gestionnaire de Réseau (</w:t>
            </w:r>
            <w:r w:rsidR="00700714">
              <w:rPr>
                <w:rFonts w:ascii="Verdana" w:eastAsia="Times New Roman" w:hAnsi="Verdana" w:cs="Times New Roman"/>
                <w:color w:val="4C4C4C"/>
                <w:sz w:val="16"/>
                <w:szCs w:val="16"/>
                <w:lang w:eastAsia="fr-FR"/>
              </w:rPr>
              <w:t>GRDF</w:t>
            </w:r>
            <w:r w:rsidRPr="002A0A71">
              <w:rPr>
                <w:rFonts w:ascii="Verdana" w:eastAsia="Times New Roman" w:hAnsi="Verdana" w:cs="Times New Roman"/>
                <w:color w:val="4C4C4C"/>
                <w:sz w:val="16"/>
                <w:szCs w:val="16"/>
                <w:lang w:eastAsia="fr-FR"/>
              </w:rPr>
              <w:t>).</w:t>
            </w:r>
          </w:p>
        </w:tc>
      </w:tr>
    </w:tbl>
    <w:p w:rsidR="00663C47" w:rsidRDefault="00663C47" w:rsidP="00663C47">
      <w:pPr>
        <w:pBdr>
          <w:bottom w:val="single" w:sz="12" w:space="1" w:color="FF591F"/>
        </w:pBdr>
        <w:shd w:val="clear" w:color="auto" w:fill="FFFFFF"/>
        <w:spacing w:after="0" w:line="240" w:lineRule="auto"/>
        <w:outlineLvl w:val="2"/>
        <w:rPr>
          <w:rFonts w:ascii="Verdana" w:eastAsia="Times New Roman" w:hAnsi="Verdana" w:cs="Times New Roman"/>
          <w:b/>
          <w:bCs/>
          <w:color w:val="FF591F"/>
          <w:sz w:val="34"/>
          <w:szCs w:val="34"/>
          <w:lang w:eastAsia="fr-FR"/>
        </w:rPr>
      </w:pPr>
    </w:p>
    <w:p w:rsidR="00663C47" w:rsidRPr="002F6FA5" w:rsidRDefault="00663C47" w:rsidP="00663C47">
      <w:pPr>
        <w:pBdr>
          <w:bottom w:val="single" w:sz="12" w:space="1" w:color="FF591F"/>
        </w:pBdr>
        <w:shd w:val="clear" w:color="auto" w:fill="FFFFFF"/>
        <w:spacing w:after="0" w:line="240" w:lineRule="auto"/>
        <w:outlineLvl w:val="2"/>
        <w:rPr>
          <w:rFonts w:ascii="Verdana" w:eastAsia="Times New Roman" w:hAnsi="Verdana" w:cs="Times New Roman"/>
          <w:b/>
          <w:bCs/>
          <w:color w:val="FF591F"/>
          <w:sz w:val="34"/>
          <w:szCs w:val="34"/>
          <w:lang w:eastAsia="fr-FR"/>
        </w:rPr>
      </w:pPr>
      <w:r>
        <w:rPr>
          <w:rFonts w:ascii="Verdana" w:eastAsia="Times New Roman" w:hAnsi="Verdana" w:cs="Times New Roman"/>
          <w:b/>
          <w:bCs/>
          <w:color w:val="FF591F"/>
          <w:sz w:val="34"/>
          <w:szCs w:val="34"/>
          <w:lang w:eastAsia="fr-FR"/>
        </w:rPr>
        <w:t xml:space="preserve">2/ </w:t>
      </w:r>
      <w:r w:rsidRPr="002F6FA5">
        <w:rPr>
          <w:rFonts w:ascii="Verdana" w:eastAsia="Times New Roman" w:hAnsi="Verdana" w:cs="Times New Roman"/>
          <w:b/>
          <w:bCs/>
          <w:color w:val="FF591F"/>
          <w:sz w:val="34"/>
          <w:szCs w:val="34"/>
          <w:lang w:eastAsia="fr-FR"/>
        </w:rPr>
        <w:t>Calcul de son montant</w:t>
      </w:r>
    </w:p>
    <w:p w:rsidR="00663C47" w:rsidRDefault="00663C47" w:rsidP="00663C47">
      <w:pPr>
        <w:shd w:val="clear" w:color="auto" w:fill="FFFFFF"/>
        <w:spacing w:after="0" w:line="240" w:lineRule="auto"/>
        <w:rPr>
          <w:rFonts w:ascii="Verdana" w:eastAsia="Times New Roman" w:hAnsi="Verdana" w:cs="Times New Roman"/>
          <w:b/>
          <w:bCs/>
          <w:color w:val="4C4C4C"/>
          <w:sz w:val="17"/>
          <w:szCs w:val="17"/>
          <w:bdr w:val="none" w:sz="0" w:space="0" w:color="auto" w:frame="1"/>
          <w:lang w:eastAsia="fr-FR"/>
        </w:rPr>
      </w:pPr>
    </w:p>
    <w:tbl>
      <w:tblPr>
        <w:tblW w:w="5000" w:type="pct"/>
        <w:tblInd w:w="50" w:type="dxa"/>
        <w:tblBorders>
          <w:top w:val="single" w:sz="6" w:space="0" w:color="FF591F"/>
          <w:left w:val="single" w:sz="6" w:space="0" w:color="FF591F"/>
          <w:bottom w:val="single" w:sz="6" w:space="0" w:color="FF591F"/>
          <w:right w:val="single" w:sz="6" w:space="0" w:color="FF591F"/>
        </w:tblBorders>
        <w:shd w:val="clear" w:color="auto" w:fill="FFFFFF"/>
        <w:tblCellMar>
          <w:left w:w="0" w:type="dxa"/>
          <w:right w:w="0" w:type="dxa"/>
        </w:tblCellMar>
        <w:tblLook w:val="04A0" w:firstRow="1" w:lastRow="0" w:firstColumn="1" w:lastColumn="0" w:noHBand="0" w:noVBand="1"/>
      </w:tblPr>
      <w:tblGrid>
        <w:gridCol w:w="9056"/>
      </w:tblGrid>
      <w:tr w:rsidR="00700714" w:rsidRPr="008B07D4" w:rsidTr="00700714">
        <w:tc>
          <w:tcPr>
            <w:tcW w:w="0" w:type="auto"/>
            <w:tcBorders>
              <w:top w:val="nil"/>
              <w:left w:val="single" w:sz="6" w:space="0" w:color="FF591F"/>
              <w:bottom w:val="nil"/>
              <w:right w:val="single" w:sz="6" w:space="0" w:color="FF591F"/>
            </w:tcBorders>
            <w:shd w:val="clear" w:color="auto" w:fill="FFFFFF"/>
            <w:tcMar>
              <w:top w:w="120" w:type="dxa"/>
              <w:left w:w="120" w:type="dxa"/>
              <w:bottom w:w="120" w:type="dxa"/>
              <w:right w:w="120" w:type="dxa"/>
            </w:tcMar>
            <w:hideMark/>
          </w:tcPr>
          <w:p w:rsidR="002A3AA7" w:rsidRDefault="008B07D4" w:rsidP="00700714">
            <w:pPr>
              <w:shd w:val="clear" w:color="auto" w:fill="FFFFFF"/>
              <w:spacing w:after="0" w:line="240" w:lineRule="auto"/>
              <w:ind w:left="-120"/>
              <w:rPr>
                <w:rFonts w:ascii="Verdana" w:eastAsia="Times New Roman" w:hAnsi="Verdana" w:cs="Times New Roman"/>
                <w:bCs/>
                <w:color w:val="4C4C4C"/>
                <w:sz w:val="18"/>
                <w:szCs w:val="18"/>
                <w:bdr w:val="none" w:sz="0" w:space="0" w:color="auto" w:frame="1"/>
                <w:lang w:eastAsia="fr-FR"/>
              </w:rPr>
            </w:pPr>
            <w:r>
              <w:rPr>
                <w:rFonts w:ascii="Verdana" w:eastAsia="Times New Roman" w:hAnsi="Verdana" w:cs="Times New Roman"/>
                <w:bCs/>
                <w:color w:val="4C4C4C"/>
                <w:sz w:val="18"/>
                <w:szCs w:val="18"/>
                <w:bdr w:val="none" w:sz="0" w:space="0" w:color="auto" w:frame="1"/>
                <w:lang w:eastAsia="fr-FR"/>
              </w:rPr>
              <w:t xml:space="preserve"> </w:t>
            </w:r>
            <w:r w:rsidR="00700714" w:rsidRPr="008B07D4">
              <w:rPr>
                <w:rFonts w:ascii="Verdana" w:eastAsia="Times New Roman" w:hAnsi="Verdana" w:cs="Times New Roman"/>
                <w:bCs/>
                <w:color w:val="4C4C4C"/>
                <w:sz w:val="18"/>
                <w:szCs w:val="18"/>
                <w:bdr w:val="none" w:sz="0" w:space="0" w:color="auto" w:frame="1"/>
                <w:lang w:eastAsia="fr-FR"/>
              </w:rPr>
              <w:t>La formule, qui permet de calculer la redevance maximale, est la suivante : </w:t>
            </w:r>
          </w:p>
          <w:p w:rsidR="00700714" w:rsidRPr="002A3AA7" w:rsidRDefault="00700714" w:rsidP="002A3AA7">
            <w:pPr>
              <w:shd w:val="clear" w:color="auto" w:fill="FFFFFF"/>
              <w:spacing w:after="0" w:line="240" w:lineRule="auto"/>
              <w:ind w:left="-120"/>
              <w:jc w:val="center"/>
              <w:rPr>
                <w:rFonts w:ascii="Verdana" w:eastAsia="Times New Roman" w:hAnsi="Verdana" w:cs="Times New Roman"/>
                <w:b/>
                <w:bCs/>
                <w:color w:val="4C4C4C"/>
                <w:sz w:val="18"/>
                <w:szCs w:val="18"/>
                <w:bdr w:val="none" w:sz="0" w:space="0" w:color="auto" w:frame="1"/>
                <w:lang w:eastAsia="fr-FR"/>
              </w:rPr>
            </w:pPr>
            <w:r w:rsidRPr="008B07D4">
              <w:rPr>
                <w:rFonts w:ascii="Verdana" w:eastAsia="Times New Roman" w:hAnsi="Verdana" w:cs="Times New Roman"/>
                <w:bCs/>
                <w:color w:val="4C4C4C"/>
                <w:sz w:val="18"/>
                <w:szCs w:val="18"/>
                <w:bdr w:val="none" w:sz="0" w:space="0" w:color="auto" w:frame="1"/>
                <w:lang w:eastAsia="fr-FR"/>
              </w:rPr>
              <w:br/>
            </w:r>
            <w:r w:rsidR="008B07D4">
              <w:rPr>
                <w:rFonts w:ascii="Verdana" w:eastAsia="Times New Roman" w:hAnsi="Verdana" w:cs="Times New Roman"/>
                <w:bCs/>
                <w:color w:val="4C4C4C"/>
                <w:sz w:val="18"/>
                <w:szCs w:val="18"/>
                <w:bdr w:val="none" w:sz="0" w:space="0" w:color="auto" w:frame="1"/>
                <w:lang w:eastAsia="fr-FR"/>
              </w:rPr>
              <w:t xml:space="preserve"> </w:t>
            </w:r>
            <w:r w:rsidRPr="002A3AA7">
              <w:rPr>
                <w:rFonts w:ascii="Verdana" w:eastAsia="Times New Roman" w:hAnsi="Verdana" w:cs="Times New Roman"/>
                <w:b/>
                <w:bCs/>
                <w:color w:val="4C4C4C"/>
                <w:sz w:val="18"/>
                <w:szCs w:val="18"/>
                <w:bdr w:val="none" w:sz="0" w:space="0" w:color="auto" w:frame="1"/>
                <w:lang w:eastAsia="fr-FR"/>
              </w:rPr>
              <w:t>PR = (0,035 euros x L) + 100 euros</w:t>
            </w:r>
          </w:p>
          <w:p w:rsidR="002A3AA7" w:rsidRPr="008B07D4" w:rsidRDefault="002A3AA7" w:rsidP="00700714">
            <w:pPr>
              <w:shd w:val="clear" w:color="auto" w:fill="FFFFFF"/>
              <w:spacing w:after="0" w:line="240" w:lineRule="auto"/>
              <w:ind w:left="-120"/>
              <w:rPr>
                <w:rFonts w:ascii="Verdana" w:eastAsia="Times New Roman" w:hAnsi="Verdana" w:cs="Times New Roman"/>
                <w:bCs/>
                <w:color w:val="4C4C4C"/>
                <w:sz w:val="18"/>
                <w:szCs w:val="18"/>
                <w:bdr w:val="none" w:sz="0" w:space="0" w:color="auto" w:frame="1"/>
                <w:lang w:eastAsia="fr-FR"/>
              </w:rPr>
            </w:pPr>
          </w:p>
          <w:p w:rsidR="00700714" w:rsidRPr="008B07D4" w:rsidRDefault="00700714" w:rsidP="00700714">
            <w:pPr>
              <w:numPr>
                <w:ilvl w:val="0"/>
                <w:numId w:val="7"/>
              </w:numPr>
              <w:shd w:val="clear" w:color="auto" w:fill="FFFFFF"/>
              <w:spacing w:after="0" w:line="240" w:lineRule="auto"/>
              <w:rPr>
                <w:rFonts w:ascii="Verdana" w:eastAsia="Times New Roman" w:hAnsi="Verdana" w:cs="Times New Roman"/>
                <w:bCs/>
                <w:color w:val="4C4C4C"/>
                <w:sz w:val="18"/>
                <w:szCs w:val="18"/>
                <w:bdr w:val="none" w:sz="0" w:space="0" w:color="auto" w:frame="1"/>
                <w:lang w:eastAsia="fr-FR"/>
              </w:rPr>
            </w:pPr>
            <w:r w:rsidRPr="008B07D4">
              <w:rPr>
                <w:rFonts w:ascii="Verdana" w:eastAsia="Times New Roman" w:hAnsi="Verdana" w:cs="Times New Roman"/>
                <w:bCs/>
                <w:i/>
                <w:iCs/>
                <w:color w:val="4C4C4C"/>
                <w:sz w:val="18"/>
                <w:szCs w:val="18"/>
                <w:bdr w:val="none" w:sz="0" w:space="0" w:color="auto" w:frame="1"/>
                <w:lang w:eastAsia="fr-FR"/>
              </w:rPr>
              <w:t>PR = Plafond de la Redevance</w:t>
            </w:r>
          </w:p>
          <w:p w:rsidR="00700714" w:rsidRPr="008B07D4" w:rsidRDefault="00700714" w:rsidP="00700714">
            <w:pPr>
              <w:numPr>
                <w:ilvl w:val="0"/>
                <w:numId w:val="7"/>
              </w:numPr>
              <w:shd w:val="clear" w:color="auto" w:fill="FFFFFF"/>
              <w:spacing w:after="0" w:line="240" w:lineRule="auto"/>
              <w:rPr>
                <w:rFonts w:ascii="Verdana" w:eastAsia="Times New Roman" w:hAnsi="Verdana" w:cs="Times New Roman"/>
                <w:bCs/>
                <w:color w:val="4C4C4C"/>
                <w:sz w:val="18"/>
                <w:szCs w:val="18"/>
                <w:bdr w:val="none" w:sz="0" w:space="0" w:color="auto" w:frame="1"/>
                <w:lang w:eastAsia="fr-FR"/>
              </w:rPr>
            </w:pPr>
            <w:r w:rsidRPr="008B07D4">
              <w:rPr>
                <w:rFonts w:ascii="Verdana" w:eastAsia="Times New Roman" w:hAnsi="Verdana" w:cs="Times New Roman"/>
                <w:bCs/>
                <w:i/>
                <w:iCs/>
                <w:color w:val="4C4C4C"/>
                <w:sz w:val="18"/>
                <w:szCs w:val="18"/>
                <w:bdr w:val="none" w:sz="0" w:space="0" w:color="auto" w:frame="1"/>
                <w:lang w:eastAsia="fr-FR"/>
              </w:rPr>
              <w:t>L : longueur en mètres des canalisations situées sur le domaine public communal</w:t>
            </w:r>
          </w:p>
          <w:p w:rsidR="00700714" w:rsidRPr="008B07D4" w:rsidRDefault="00700714" w:rsidP="00700714">
            <w:pPr>
              <w:numPr>
                <w:ilvl w:val="0"/>
                <w:numId w:val="7"/>
              </w:numPr>
              <w:shd w:val="clear" w:color="auto" w:fill="FFFFFF"/>
              <w:spacing w:after="0" w:line="240" w:lineRule="auto"/>
              <w:rPr>
                <w:rFonts w:ascii="Verdana" w:eastAsia="Times New Roman" w:hAnsi="Verdana" w:cs="Times New Roman"/>
                <w:bCs/>
                <w:color w:val="4C4C4C"/>
                <w:sz w:val="18"/>
                <w:szCs w:val="18"/>
                <w:bdr w:val="none" w:sz="0" w:space="0" w:color="auto" w:frame="1"/>
                <w:lang w:eastAsia="fr-FR"/>
              </w:rPr>
            </w:pPr>
            <w:r w:rsidRPr="008B07D4">
              <w:rPr>
                <w:rFonts w:ascii="Verdana" w:eastAsia="Times New Roman" w:hAnsi="Verdana" w:cs="Times New Roman"/>
                <w:bCs/>
                <w:i/>
                <w:iCs/>
                <w:color w:val="4C4C4C"/>
                <w:sz w:val="18"/>
                <w:szCs w:val="18"/>
                <w:bdr w:val="none" w:sz="0" w:space="0" w:color="auto" w:frame="1"/>
                <w:lang w:eastAsia="fr-FR"/>
              </w:rPr>
              <w:t>100€ est un terme fixe</w:t>
            </w:r>
          </w:p>
        </w:tc>
      </w:tr>
    </w:tbl>
    <w:p w:rsidR="008B07D4" w:rsidRDefault="008B07D4" w:rsidP="00700714">
      <w:pPr>
        <w:shd w:val="clear" w:color="auto" w:fill="FFFFFF"/>
        <w:spacing w:after="0" w:line="240" w:lineRule="auto"/>
        <w:ind w:left="-120"/>
        <w:rPr>
          <w:rFonts w:ascii="Verdana" w:eastAsia="Times New Roman" w:hAnsi="Verdana" w:cs="Times New Roman"/>
          <w:bCs/>
          <w:color w:val="4C4C4C"/>
          <w:sz w:val="18"/>
          <w:szCs w:val="18"/>
          <w:bdr w:val="none" w:sz="0" w:space="0" w:color="auto" w:frame="1"/>
          <w:lang w:eastAsia="fr-FR"/>
        </w:rPr>
      </w:pPr>
      <w:bookmarkStart w:id="2" w:name="eztoc2553_1_1_1"/>
      <w:bookmarkEnd w:id="2"/>
    </w:p>
    <w:p w:rsidR="00700714" w:rsidRPr="008B07D4" w:rsidRDefault="00700714" w:rsidP="00700714">
      <w:pPr>
        <w:shd w:val="clear" w:color="auto" w:fill="FFFFFF"/>
        <w:spacing w:after="0" w:line="240" w:lineRule="auto"/>
        <w:ind w:left="-120"/>
        <w:rPr>
          <w:rFonts w:ascii="Verdana" w:eastAsia="Times New Roman" w:hAnsi="Verdana" w:cs="Times New Roman"/>
          <w:b/>
          <w:bCs/>
          <w:color w:val="4C4C4C"/>
          <w:sz w:val="18"/>
          <w:szCs w:val="18"/>
          <w:bdr w:val="none" w:sz="0" w:space="0" w:color="auto" w:frame="1"/>
          <w:lang w:eastAsia="fr-FR"/>
        </w:rPr>
      </w:pPr>
      <w:r w:rsidRPr="008B07D4">
        <w:rPr>
          <w:rFonts w:ascii="Verdana" w:eastAsia="Times New Roman" w:hAnsi="Verdana" w:cs="Times New Roman"/>
          <w:b/>
          <w:bCs/>
          <w:color w:val="4C4C4C"/>
          <w:sz w:val="18"/>
          <w:szCs w:val="18"/>
          <w:bdr w:val="none" w:sz="0" w:space="0" w:color="auto" w:frame="1"/>
          <w:lang w:eastAsia="fr-FR"/>
        </w:rPr>
        <w:t>Linéaire</w:t>
      </w:r>
    </w:p>
    <w:p w:rsidR="008B07D4" w:rsidRDefault="008B07D4" w:rsidP="00700714">
      <w:pPr>
        <w:shd w:val="clear" w:color="auto" w:fill="FFFFFF"/>
        <w:spacing w:after="0" w:line="240" w:lineRule="auto"/>
        <w:ind w:left="-120"/>
        <w:rPr>
          <w:rFonts w:ascii="Verdana" w:eastAsia="Times New Roman" w:hAnsi="Verdana" w:cs="Times New Roman"/>
          <w:bCs/>
          <w:color w:val="4C4C4C"/>
          <w:sz w:val="18"/>
          <w:szCs w:val="18"/>
          <w:bdr w:val="none" w:sz="0" w:space="0" w:color="auto" w:frame="1"/>
          <w:lang w:eastAsia="fr-FR"/>
        </w:rPr>
      </w:pPr>
    </w:p>
    <w:p w:rsidR="00700714" w:rsidRPr="008B07D4" w:rsidRDefault="00700714" w:rsidP="00700714">
      <w:pPr>
        <w:shd w:val="clear" w:color="auto" w:fill="FFFFFF"/>
        <w:spacing w:after="0" w:line="240" w:lineRule="auto"/>
        <w:ind w:left="-120"/>
        <w:rPr>
          <w:rFonts w:ascii="Verdana" w:eastAsia="Times New Roman" w:hAnsi="Verdana" w:cs="Times New Roman"/>
          <w:bCs/>
          <w:color w:val="4C4C4C"/>
          <w:sz w:val="18"/>
          <w:szCs w:val="18"/>
          <w:bdr w:val="none" w:sz="0" w:space="0" w:color="auto" w:frame="1"/>
          <w:lang w:eastAsia="fr-FR"/>
        </w:rPr>
      </w:pPr>
      <w:r w:rsidRPr="008B07D4">
        <w:rPr>
          <w:rFonts w:ascii="Verdana" w:eastAsia="Times New Roman" w:hAnsi="Verdana" w:cs="Times New Roman"/>
          <w:bCs/>
          <w:color w:val="4C4C4C"/>
          <w:sz w:val="18"/>
          <w:szCs w:val="18"/>
          <w:bdr w:val="none" w:sz="0" w:space="0" w:color="auto" w:frame="1"/>
          <w:lang w:eastAsia="fr-FR"/>
        </w:rPr>
        <w:t>En principe, le gestionnaire des réseaux publics de distribution de gaz doit adresser aux communes au cours du premier trimestre de l’année N, le linéaire du réseau implanté sur leur territoire, arrêté au 31 décembre de l’année N-1, permettant de servir de base de calcul pour la redevance de l’année N.</w:t>
      </w:r>
    </w:p>
    <w:p w:rsidR="008B07D4" w:rsidRDefault="008B07D4" w:rsidP="00700714">
      <w:pPr>
        <w:shd w:val="clear" w:color="auto" w:fill="FFFFFF"/>
        <w:spacing w:after="0" w:line="240" w:lineRule="auto"/>
        <w:ind w:left="-120"/>
        <w:rPr>
          <w:rFonts w:ascii="Verdana" w:eastAsia="Times New Roman" w:hAnsi="Verdana" w:cs="Times New Roman"/>
          <w:bCs/>
          <w:color w:val="4C4C4C"/>
          <w:sz w:val="18"/>
          <w:szCs w:val="18"/>
          <w:bdr w:val="none" w:sz="0" w:space="0" w:color="auto" w:frame="1"/>
          <w:lang w:eastAsia="fr-FR"/>
        </w:rPr>
      </w:pPr>
      <w:bookmarkStart w:id="3" w:name="eztoc2553_1_1_2"/>
      <w:bookmarkEnd w:id="3"/>
    </w:p>
    <w:p w:rsidR="00700714" w:rsidRPr="008B07D4" w:rsidRDefault="00700714" w:rsidP="00700714">
      <w:pPr>
        <w:shd w:val="clear" w:color="auto" w:fill="FFFFFF"/>
        <w:spacing w:after="0" w:line="240" w:lineRule="auto"/>
        <w:ind w:left="-120"/>
        <w:rPr>
          <w:rFonts w:ascii="Verdana" w:eastAsia="Times New Roman" w:hAnsi="Verdana" w:cs="Times New Roman"/>
          <w:b/>
          <w:bCs/>
          <w:color w:val="4C4C4C"/>
          <w:sz w:val="18"/>
          <w:szCs w:val="18"/>
          <w:bdr w:val="none" w:sz="0" w:space="0" w:color="auto" w:frame="1"/>
          <w:lang w:eastAsia="fr-FR"/>
        </w:rPr>
      </w:pPr>
      <w:r w:rsidRPr="008B07D4">
        <w:rPr>
          <w:rFonts w:ascii="Verdana" w:eastAsia="Times New Roman" w:hAnsi="Verdana" w:cs="Times New Roman"/>
          <w:b/>
          <w:bCs/>
          <w:color w:val="4C4C4C"/>
          <w:sz w:val="18"/>
          <w:szCs w:val="18"/>
          <w:bdr w:val="none" w:sz="0" w:space="0" w:color="auto" w:frame="1"/>
          <w:lang w:eastAsia="fr-FR"/>
        </w:rPr>
        <w:t>Formule de calcul</w:t>
      </w:r>
    </w:p>
    <w:p w:rsidR="008B07D4" w:rsidRPr="008B07D4" w:rsidRDefault="008B07D4" w:rsidP="00700714">
      <w:pPr>
        <w:shd w:val="clear" w:color="auto" w:fill="FFFFFF"/>
        <w:spacing w:after="0" w:line="240" w:lineRule="auto"/>
        <w:ind w:left="-120"/>
        <w:rPr>
          <w:rFonts w:ascii="Verdana" w:eastAsia="Times New Roman" w:hAnsi="Verdana" w:cs="Times New Roman"/>
          <w:bCs/>
          <w:color w:val="4C4C4C"/>
          <w:sz w:val="18"/>
          <w:szCs w:val="18"/>
          <w:bdr w:val="none" w:sz="0" w:space="0" w:color="auto" w:frame="1"/>
          <w:lang w:eastAsia="fr-FR"/>
        </w:rPr>
      </w:pPr>
    </w:p>
    <w:p w:rsidR="00700714" w:rsidRDefault="00700714" w:rsidP="00700714">
      <w:pPr>
        <w:shd w:val="clear" w:color="auto" w:fill="FFFFFF"/>
        <w:spacing w:after="0" w:line="240" w:lineRule="auto"/>
        <w:ind w:left="-120"/>
        <w:rPr>
          <w:rFonts w:ascii="Verdana" w:eastAsia="Times New Roman" w:hAnsi="Verdana" w:cs="Times New Roman"/>
          <w:bCs/>
          <w:color w:val="4C4C4C"/>
          <w:sz w:val="18"/>
          <w:szCs w:val="18"/>
          <w:bdr w:val="none" w:sz="0" w:space="0" w:color="auto" w:frame="1"/>
          <w:lang w:eastAsia="fr-FR"/>
        </w:rPr>
      </w:pPr>
      <w:r w:rsidRPr="008B07D4">
        <w:rPr>
          <w:rFonts w:ascii="Verdana" w:eastAsia="Times New Roman" w:hAnsi="Verdana" w:cs="Times New Roman"/>
          <w:bCs/>
          <w:color w:val="4C4C4C"/>
          <w:sz w:val="18"/>
          <w:szCs w:val="18"/>
          <w:bdr w:val="none" w:sz="0" w:space="0" w:color="auto" w:frame="1"/>
          <w:lang w:eastAsia="fr-FR"/>
        </w:rPr>
        <w:t>La redevance maximale due chaque année pour l'occupation du domaine public, par les ouvrages de transport et de distribution et par les canalisations particulières de gaz</w:t>
      </w:r>
      <w:r w:rsidR="008B07D4">
        <w:rPr>
          <w:rFonts w:ascii="Verdana" w:eastAsia="Times New Roman" w:hAnsi="Verdana" w:cs="Times New Roman"/>
          <w:bCs/>
          <w:color w:val="4C4C4C"/>
          <w:sz w:val="18"/>
          <w:szCs w:val="18"/>
          <w:bdr w:val="none" w:sz="0" w:space="0" w:color="auto" w:frame="1"/>
          <w:lang w:eastAsia="fr-FR"/>
        </w:rPr>
        <w:t>*</w:t>
      </w:r>
      <w:r w:rsidRPr="008B07D4">
        <w:rPr>
          <w:rFonts w:ascii="Verdana" w:eastAsia="Times New Roman" w:hAnsi="Verdana" w:cs="Times New Roman"/>
          <w:bCs/>
          <w:color w:val="4C4C4C"/>
          <w:sz w:val="18"/>
          <w:szCs w:val="18"/>
          <w:bdr w:val="none" w:sz="0" w:space="0" w:color="auto" w:frame="1"/>
          <w:lang w:eastAsia="fr-FR"/>
        </w:rPr>
        <w:t>, est égale à :</w:t>
      </w:r>
    </w:p>
    <w:p w:rsidR="008B07D4" w:rsidRPr="008B07D4" w:rsidRDefault="008B07D4" w:rsidP="00700714">
      <w:pPr>
        <w:shd w:val="clear" w:color="auto" w:fill="FFFFFF"/>
        <w:spacing w:after="0" w:line="240" w:lineRule="auto"/>
        <w:ind w:left="-120"/>
        <w:rPr>
          <w:rFonts w:ascii="Verdana" w:eastAsia="Times New Roman" w:hAnsi="Verdana" w:cs="Times New Roman"/>
          <w:bCs/>
          <w:color w:val="4C4C4C"/>
          <w:sz w:val="18"/>
          <w:szCs w:val="18"/>
          <w:bdr w:val="none" w:sz="0" w:space="0" w:color="auto" w:frame="1"/>
          <w:lang w:eastAsia="fr-FR"/>
        </w:rPr>
      </w:pPr>
    </w:p>
    <w:p w:rsidR="00700714" w:rsidRPr="008B07D4" w:rsidRDefault="00700714" w:rsidP="00700714">
      <w:pPr>
        <w:shd w:val="clear" w:color="auto" w:fill="FFFFFF"/>
        <w:spacing w:after="0" w:line="240" w:lineRule="auto"/>
        <w:ind w:left="-120"/>
        <w:rPr>
          <w:rFonts w:ascii="Verdana" w:eastAsia="Times New Roman" w:hAnsi="Verdana" w:cs="Times New Roman"/>
          <w:bCs/>
          <w:color w:val="4C4C4C"/>
          <w:sz w:val="18"/>
          <w:szCs w:val="18"/>
          <w:bdr w:val="none" w:sz="0" w:space="0" w:color="auto" w:frame="1"/>
          <w:lang w:eastAsia="fr-FR"/>
        </w:rPr>
      </w:pPr>
      <w:r w:rsidRPr="008B07D4">
        <w:rPr>
          <w:rFonts w:ascii="Verdana" w:eastAsia="Times New Roman" w:hAnsi="Verdana" w:cs="Times New Roman"/>
          <w:bCs/>
          <w:color w:val="4C4C4C"/>
          <w:sz w:val="18"/>
          <w:szCs w:val="18"/>
          <w:bdr w:val="none" w:sz="0" w:space="0" w:color="auto" w:frame="1"/>
          <w:lang w:eastAsia="fr-FR"/>
        </w:rPr>
        <w:t>PR = [(0,035 euros x L) + 100 euros] x 1,24 </w:t>
      </w:r>
    </w:p>
    <w:p w:rsidR="008B07D4" w:rsidRDefault="008B07D4" w:rsidP="00700714">
      <w:pPr>
        <w:shd w:val="clear" w:color="auto" w:fill="FFFFFF"/>
        <w:spacing w:after="0" w:line="240" w:lineRule="auto"/>
        <w:ind w:left="-120"/>
        <w:rPr>
          <w:rFonts w:ascii="Verdana" w:eastAsia="Times New Roman" w:hAnsi="Verdana" w:cs="Times New Roman"/>
          <w:bCs/>
          <w:color w:val="4C4C4C"/>
          <w:sz w:val="18"/>
          <w:szCs w:val="18"/>
          <w:bdr w:val="none" w:sz="0" w:space="0" w:color="auto" w:frame="1"/>
          <w:lang w:eastAsia="fr-FR"/>
        </w:rPr>
      </w:pPr>
    </w:p>
    <w:p w:rsidR="00700714" w:rsidRPr="008060E3" w:rsidRDefault="00700714" w:rsidP="00700714">
      <w:pPr>
        <w:shd w:val="clear" w:color="auto" w:fill="FFFFFF"/>
        <w:spacing w:after="0" w:line="240" w:lineRule="auto"/>
        <w:ind w:left="-120"/>
        <w:rPr>
          <w:rFonts w:ascii="Verdana" w:eastAsia="Times New Roman" w:hAnsi="Verdana" w:cs="Times New Roman"/>
          <w:b/>
          <w:bCs/>
          <w:color w:val="4C4C4C"/>
          <w:sz w:val="18"/>
          <w:szCs w:val="18"/>
          <w:bdr w:val="none" w:sz="0" w:space="0" w:color="auto" w:frame="1"/>
          <w:lang w:eastAsia="fr-FR"/>
        </w:rPr>
      </w:pPr>
      <w:r w:rsidRPr="008060E3">
        <w:rPr>
          <w:rFonts w:ascii="Verdana" w:eastAsia="Times New Roman" w:hAnsi="Verdana" w:cs="Times New Roman"/>
          <w:b/>
          <w:bCs/>
          <w:color w:val="4C4C4C"/>
          <w:sz w:val="18"/>
          <w:szCs w:val="18"/>
          <w:bdr w:val="none" w:sz="0" w:space="0" w:color="auto" w:frame="1"/>
          <w:lang w:eastAsia="fr-FR"/>
        </w:rPr>
        <w:t>Pour 2019, la valeur de PR obtenue sera à multiplier par 1,24. </w:t>
      </w:r>
    </w:p>
    <w:p w:rsidR="008B07D4" w:rsidRDefault="008B07D4" w:rsidP="00700714">
      <w:pPr>
        <w:shd w:val="clear" w:color="auto" w:fill="FFFFFF"/>
        <w:spacing w:after="0" w:line="240" w:lineRule="auto"/>
        <w:ind w:left="-120"/>
        <w:rPr>
          <w:rFonts w:ascii="Verdana" w:eastAsia="Times New Roman" w:hAnsi="Verdana" w:cs="Times New Roman"/>
          <w:bCs/>
          <w:i/>
          <w:iCs/>
          <w:color w:val="4C4C4C"/>
          <w:sz w:val="18"/>
          <w:szCs w:val="18"/>
          <w:bdr w:val="none" w:sz="0" w:space="0" w:color="auto" w:frame="1"/>
          <w:lang w:eastAsia="fr-FR"/>
        </w:rPr>
      </w:pPr>
    </w:p>
    <w:p w:rsidR="00700714" w:rsidRPr="008B07D4" w:rsidRDefault="008B07D4" w:rsidP="00700714">
      <w:pPr>
        <w:shd w:val="clear" w:color="auto" w:fill="FFFFFF"/>
        <w:spacing w:after="0" w:line="240" w:lineRule="auto"/>
        <w:ind w:left="-120"/>
        <w:rPr>
          <w:rFonts w:ascii="Verdana" w:eastAsia="Times New Roman" w:hAnsi="Verdana" w:cs="Times New Roman"/>
          <w:bCs/>
          <w:color w:val="4C4C4C"/>
          <w:sz w:val="18"/>
          <w:szCs w:val="18"/>
          <w:bdr w:val="none" w:sz="0" w:space="0" w:color="auto" w:frame="1"/>
          <w:lang w:eastAsia="fr-FR"/>
        </w:rPr>
      </w:pPr>
      <w:r>
        <w:rPr>
          <w:rFonts w:ascii="Verdana" w:eastAsia="Times New Roman" w:hAnsi="Verdana" w:cs="Times New Roman"/>
          <w:bCs/>
          <w:i/>
          <w:iCs/>
          <w:color w:val="4C4C4C"/>
          <w:sz w:val="18"/>
          <w:szCs w:val="18"/>
          <w:bdr w:val="none" w:sz="0" w:space="0" w:color="auto" w:frame="1"/>
          <w:lang w:eastAsia="fr-FR"/>
        </w:rPr>
        <w:t>*L</w:t>
      </w:r>
      <w:r w:rsidR="00700714" w:rsidRPr="008B07D4">
        <w:rPr>
          <w:rFonts w:ascii="Verdana" w:eastAsia="Times New Roman" w:hAnsi="Verdana" w:cs="Times New Roman"/>
          <w:bCs/>
          <w:i/>
          <w:iCs/>
          <w:color w:val="4C4C4C"/>
          <w:sz w:val="18"/>
          <w:szCs w:val="18"/>
          <w:bdr w:val="none" w:sz="0" w:space="0" w:color="auto" w:frame="1"/>
          <w:lang w:eastAsia="fr-FR"/>
        </w:rPr>
        <w:t>es canalisations particulières de gaz établies sur domaine public par simple permission de voirie, par exemple pour un usage privé, sont également soumises à redevance, en appliquant la même formule de calcul que celle retenue pour les ouvrages de transport et de distribution.</w:t>
      </w:r>
    </w:p>
    <w:p w:rsidR="00663C47" w:rsidRPr="009F4C1A" w:rsidRDefault="00663C47" w:rsidP="00663C47">
      <w:pPr>
        <w:shd w:val="clear" w:color="auto" w:fill="FFFFFF"/>
        <w:spacing w:after="0" w:line="240" w:lineRule="auto"/>
        <w:ind w:left="-120"/>
        <w:rPr>
          <w:rFonts w:ascii="Verdana" w:eastAsia="Times New Roman" w:hAnsi="Verdana" w:cs="Times New Roman"/>
          <w:color w:val="4C4C4C"/>
          <w:sz w:val="18"/>
          <w:szCs w:val="17"/>
          <w:lang w:eastAsia="fr-FR"/>
        </w:rPr>
      </w:pPr>
    </w:p>
    <w:p w:rsidR="00663C47" w:rsidRPr="00606FC4" w:rsidRDefault="00663C47" w:rsidP="00663C47">
      <w:pPr>
        <w:shd w:val="clear" w:color="auto" w:fill="FFFFFF"/>
        <w:spacing w:after="0" w:line="240" w:lineRule="auto"/>
        <w:rPr>
          <w:rFonts w:ascii="Verdana" w:eastAsia="Times New Roman" w:hAnsi="Verdana" w:cs="Times New Roman"/>
          <w:color w:val="4C4C4C"/>
          <w:sz w:val="18"/>
          <w:szCs w:val="18"/>
          <w:lang w:eastAsia="fr-FR"/>
        </w:rPr>
      </w:pPr>
    </w:p>
    <w:p w:rsidR="00663C47" w:rsidRDefault="00663C47" w:rsidP="00663C47">
      <w:pPr>
        <w:shd w:val="clear" w:color="auto" w:fill="FFFFFF"/>
        <w:spacing w:after="0" w:line="240" w:lineRule="auto"/>
        <w:rPr>
          <w:rFonts w:ascii="Verdana" w:eastAsia="Times New Roman" w:hAnsi="Verdana" w:cs="Times New Roman"/>
          <w:color w:val="4C4C4C"/>
          <w:sz w:val="17"/>
          <w:szCs w:val="17"/>
          <w:lang w:eastAsia="fr-FR"/>
        </w:rPr>
      </w:pPr>
    </w:p>
    <w:p w:rsidR="00663C47" w:rsidRPr="00677277" w:rsidRDefault="00663C47" w:rsidP="00663C47">
      <w:pPr>
        <w:pBdr>
          <w:bottom w:val="single" w:sz="12" w:space="1" w:color="FF591F"/>
        </w:pBdr>
        <w:shd w:val="clear" w:color="auto" w:fill="FFFFFF"/>
        <w:spacing w:after="0" w:line="240" w:lineRule="auto"/>
        <w:outlineLvl w:val="2"/>
        <w:rPr>
          <w:rFonts w:ascii="Verdana" w:eastAsia="Times New Roman" w:hAnsi="Verdana" w:cs="Times New Roman"/>
          <w:b/>
          <w:bCs/>
          <w:color w:val="FF591F"/>
          <w:sz w:val="34"/>
          <w:szCs w:val="34"/>
          <w:lang w:eastAsia="fr-FR"/>
        </w:rPr>
      </w:pPr>
      <w:r>
        <w:rPr>
          <w:rFonts w:ascii="Verdana" w:eastAsia="Times New Roman" w:hAnsi="Verdana" w:cs="Times New Roman"/>
          <w:b/>
          <w:bCs/>
          <w:color w:val="FF591F"/>
          <w:sz w:val="34"/>
          <w:szCs w:val="34"/>
          <w:lang w:eastAsia="fr-FR"/>
        </w:rPr>
        <w:t xml:space="preserve">3/ Prise de la délibération </w:t>
      </w:r>
    </w:p>
    <w:p w:rsidR="00663C47" w:rsidRDefault="00663C47" w:rsidP="00663C47">
      <w:pPr>
        <w:shd w:val="clear" w:color="auto" w:fill="FFFFFF"/>
        <w:spacing w:after="0" w:line="240" w:lineRule="auto"/>
        <w:rPr>
          <w:rFonts w:ascii="Verdana" w:eastAsia="Times New Roman" w:hAnsi="Verdana" w:cs="Times New Roman"/>
          <w:color w:val="4C4C4C"/>
          <w:sz w:val="17"/>
          <w:szCs w:val="17"/>
          <w:lang w:eastAsia="fr-FR"/>
        </w:rPr>
      </w:pPr>
    </w:p>
    <w:p w:rsidR="00663C47" w:rsidRPr="00606FC4" w:rsidRDefault="00663C47" w:rsidP="00663C47">
      <w:pPr>
        <w:shd w:val="clear" w:color="auto" w:fill="FFFFFF"/>
        <w:spacing w:after="0" w:line="240" w:lineRule="auto"/>
        <w:rPr>
          <w:rFonts w:ascii="Verdana" w:eastAsia="Times New Roman" w:hAnsi="Verdana" w:cs="Times New Roman"/>
          <w:color w:val="4C4C4C"/>
          <w:sz w:val="18"/>
          <w:szCs w:val="18"/>
          <w:lang w:eastAsia="fr-FR"/>
        </w:rPr>
      </w:pPr>
      <w:proofErr w:type="spellStart"/>
      <w:r w:rsidRPr="00606FC4">
        <w:rPr>
          <w:rFonts w:ascii="Verdana" w:eastAsia="Times New Roman" w:hAnsi="Verdana" w:cs="Times New Roman"/>
          <w:color w:val="4C4C4C"/>
          <w:sz w:val="18"/>
          <w:szCs w:val="18"/>
          <w:lang w:eastAsia="fr-FR"/>
        </w:rPr>
        <w:t>Cf</w:t>
      </w:r>
      <w:proofErr w:type="spellEnd"/>
      <w:r w:rsidRPr="00606FC4">
        <w:rPr>
          <w:rFonts w:ascii="Verdana" w:eastAsia="Times New Roman" w:hAnsi="Verdana" w:cs="Times New Roman"/>
          <w:color w:val="4C4C4C"/>
          <w:sz w:val="18"/>
          <w:szCs w:val="18"/>
          <w:lang w:eastAsia="fr-FR"/>
        </w:rPr>
        <w:t xml:space="preserve"> modèle de délibération joint.</w:t>
      </w:r>
    </w:p>
    <w:p w:rsidR="00663C47" w:rsidRDefault="00663C47" w:rsidP="00663C47">
      <w:pPr>
        <w:shd w:val="clear" w:color="auto" w:fill="FFFFFF"/>
        <w:spacing w:after="0" w:line="240" w:lineRule="auto"/>
        <w:rPr>
          <w:rFonts w:ascii="Verdana" w:eastAsia="Times New Roman" w:hAnsi="Verdana" w:cs="Times New Roman"/>
          <w:color w:val="4C4C4C"/>
          <w:sz w:val="17"/>
          <w:szCs w:val="17"/>
          <w:lang w:eastAsia="fr-FR"/>
        </w:rPr>
      </w:pPr>
    </w:p>
    <w:p w:rsidR="00663C47" w:rsidRPr="002F6FA5" w:rsidRDefault="00663C47" w:rsidP="00663C47">
      <w:pPr>
        <w:shd w:val="clear" w:color="auto" w:fill="FFFFFF"/>
        <w:spacing w:after="0" w:line="240" w:lineRule="auto"/>
        <w:rPr>
          <w:rFonts w:ascii="Verdana" w:eastAsia="Times New Roman" w:hAnsi="Verdana" w:cs="Times New Roman"/>
          <w:color w:val="4C4C4C"/>
          <w:sz w:val="17"/>
          <w:szCs w:val="17"/>
          <w:lang w:eastAsia="fr-FR"/>
        </w:rPr>
      </w:pPr>
    </w:p>
    <w:p w:rsidR="00663C47" w:rsidRPr="002F6FA5" w:rsidRDefault="00663C47" w:rsidP="00663C47">
      <w:pPr>
        <w:pBdr>
          <w:bottom w:val="single" w:sz="12" w:space="1" w:color="FF591F"/>
        </w:pBdr>
        <w:shd w:val="clear" w:color="auto" w:fill="FFFFFF"/>
        <w:spacing w:after="0" w:line="240" w:lineRule="auto"/>
        <w:outlineLvl w:val="2"/>
        <w:rPr>
          <w:rFonts w:ascii="Verdana" w:eastAsia="Times New Roman" w:hAnsi="Verdana" w:cs="Times New Roman"/>
          <w:b/>
          <w:bCs/>
          <w:color w:val="FF591F"/>
          <w:sz w:val="34"/>
          <w:szCs w:val="34"/>
          <w:lang w:eastAsia="fr-FR"/>
        </w:rPr>
      </w:pPr>
      <w:r>
        <w:rPr>
          <w:rFonts w:ascii="Verdana" w:eastAsia="Times New Roman" w:hAnsi="Verdana" w:cs="Times New Roman"/>
          <w:b/>
          <w:bCs/>
          <w:color w:val="FF591F"/>
          <w:sz w:val="34"/>
          <w:szCs w:val="34"/>
          <w:lang w:eastAsia="fr-FR"/>
        </w:rPr>
        <w:lastRenderedPageBreak/>
        <w:t xml:space="preserve">4/ </w:t>
      </w:r>
      <w:r w:rsidRPr="002F6FA5">
        <w:rPr>
          <w:rFonts w:ascii="Verdana" w:eastAsia="Times New Roman" w:hAnsi="Verdana" w:cs="Times New Roman"/>
          <w:b/>
          <w:bCs/>
          <w:color w:val="FF591F"/>
          <w:sz w:val="34"/>
          <w:szCs w:val="34"/>
          <w:lang w:eastAsia="fr-FR"/>
        </w:rPr>
        <w:t>Perception de la redevance</w:t>
      </w:r>
    </w:p>
    <w:p w:rsidR="00663C47" w:rsidRDefault="00663C47" w:rsidP="00663C47">
      <w:pPr>
        <w:shd w:val="clear" w:color="auto" w:fill="FFFFFF"/>
        <w:spacing w:after="0" w:line="240" w:lineRule="auto"/>
        <w:rPr>
          <w:rFonts w:ascii="Verdana" w:eastAsia="Times New Roman" w:hAnsi="Verdana" w:cs="Times New Roman"/>
          <w:color w:val="4C4C4C"/>
          <w:sz w:val="17"/>
          <w:szCs w:val="17"/>
          <w:lang w:eastAsia="fr-FR"/>
        </w:rPr>
      </w:pPr>
    </w:p>
    <w:p w:rsidR="00663C47" w:rsidRDefault="00663C47" w:rsidP="00663C47">
      <w:pPr>
        <w:shd w:val="clear" w:color="auto" w:fill="FFFFFF"/>
        <w:spacing w:after="0" w:line="240" w:lineRule="auto"/>
        <w:rPr>
          <w:rFonts w:ascii="Verdana" w:eastAsia="Times New Roman" w:hAnsi="Verdana" w:cs="Times New Roman"/>
          <w:color w:val="4C4C4C"/>
          <w:sz w:val="18"/>
          <w:szCs w:val="18"/>
          <w:lang w:eastAsia="fr-FR"/>
        </w:rPr>
      </w:pPr>
      <w:r w:rsidRPr="00606FC4">
        <w:rPr>
          <w:rFonts w:ascii="Verdana" w:eastAsia="Times New Roman" w:hAnsi="Verdana" w:cs="Times New Roman"/>
          <w:color w:val="4C4C4C"/>
          <w:sz w:val="18"/>
          <w:szCs w:val="18"/>
          <w:lang w:eastAsia="fr-FR"/>
        </w:rPr>
        <w:t>Le versement effectif de la présente redevance</w:t>
      </w:r>
      <w:r w:rsidR="008B07D4">
        <w:rPr>
          <w:rFonts w:ascii="Verdana" w:eastAsia="Times New Roman" w:hAnsi="Verdana" w:cs="Times New Roman"/>
          <w:color w:val="4C4C4C"/>
          <w:sz w:val="18"/>
          <w:szCs w:val="18"/>
          <w:lang w:eastAsia="fr-FR"/>
        </w:rPr>
        <w:t xml:space="preserve"> due par les concessionnaires des</w:t>
      </w:r>
      <w:r w:rsidRPr="00606FC4">
        <w:rPr>
          <w:rFonts w:ascii="Verdana" w:eastAsia="Times New Roman" w:hAnsi="Verdana" w:cs="Times New Roman"/>
          <w:color w:val="4C4C4C"/>
          <w:sz w:val="18"/>
          <w:szCs w:val="18"/>
          <w:lang w:eastAsia="fr-FR"/>
        </w:rPr>
        <w:t xml:space="preserve"> réseau</w:t>
      </w:r>
      <w:r w:rsidR="008B07D4">
        <w:rPr>
          <w:rFonts w:ascii="Verdana" w:eastAsia="Times New Roman" w:hAnsi="Verdana" w:cs="Times New Roman"/>
          <w:color w:val="4C4C4C"/>
          <w:sz w:val="18"/>
          <w:szCs w:val="18"/>
          <w:lang w:eastAsia="fr-FR"/>
        </w:rPr>
        <w:t>x</w:t>
      </w:r>
      <w:r w:rsidRPr="00606FC4">
        <w:rPr>
          <w:rFonts w:ascii="Verdana" w:eastAsia="Times New Roman" w:hAnsi="Verdana" w:cs="Times New Roman"/>
          <w:color w:val="4C4C4C"/>
          <w:sz w:val="18"/>
          <w:szCs w:val="18"/>
          <w:lang w:eastAsia="fr-FR"/>
        </w:rPr>
        <w:t xml:space="preserve"> public</w:t>
      </w:r>
      <w:r w:rsidR="008B07D4">
        <w:rPr>
          <w:rFonts w:ascii="Verdana" w:eastAsia="Times New Roman" w:hAnsi="Verdana" w:cs="Times New Roman"/>
          <w:color w:val="4C4C4C"/>
          <w:sz w:val="18"/>
          <w:szCs w:val="18"/>
          <w:lang w:eastAsia="fr-FR"/>
        </w:rPr>
        <w:t>s</w:t>
      </w:r>
      <w:r w:rsidRPr="00606FC4">
        <w:rPr>
          <w:rFonts w:ascii="Verdana" w:eastAsia="Times New Roman" w:hAnsi="Verdana" w:cs="Times New Roman"/>
          <w:color w:val="4C4C4C"/>
          <w:sz w:val="18"/>
          <w:szCs w:val="18"/>
          <w:lang w:eastAsia="fr-FR"/>
        </w:rPr>
        <w:t xml:space="preserve"> </w:t>
      </w:r>
      <w:r w:rsidR="008B07D4">
        <w:rPr>
          <w:rFonts w:ascii="Verdana" w:eastAsia="Times New Roman" w:hAnsi="Verdana" w:cs="Times New Roman"/>
          <w:color w:val="4C4C4C"/>
          <w:sz w:val="18"/>
          <w:szCs w:val="18"/>
          <w:lang w:eastAsia="fr-FR"/>
        </w:rPr>
        <w:t xml:space="preserve">gaziers </w:t>
      </w:r>
      <w:r w:rsidRPr="00606FC4">
        <w:rPr>
          <w:rFonts w:ascii="Verdana" w:eastAsia="Times New Roman" w:hAnsi="Verdana" w:cs="Times New Roman"/>
          <w:color w:val="4C4C4C"/>
          <w:sz w:val="18"/>
          <w:szCs w:val="18"/>
          <w:lang w:eastAsia="fr-FR"/>
        </w:rPr>
        <w:t>nécessite l'</w:t>
      </w:r>
      <w:r w:rsidRPr="00606FC4">
        <w:rPr>
          <w:rFonts w:ascii="Verdana" w:eastAsia="Times New Roman" w:hAnsi="Verdana" w:cs="Times New Roman"/>
          <w:b/>
          <w:bCs/>
          <w:color w:val="4C4C4C"/>
          <w:sz w:val="18"/>
          <w:szCs w:val="18"/>
          <w:bdr w:val="none" w:sz="0" w:space="0" w:color="auto" w:frame="1"/>
          <w:lang w:eastAsia="fr-FR"/>
        </w:rPr>
        <w:t>émission préalable d'un titre de recette</w:t>
      </w:r>
      <w:r w:rsidR="008D2D9C">
        <w:rPr>
          <w:rFonts w:ascii="Verdana" w:eastAsia="Times New Roman" w:hAnsi="Verdana" w:cs="Times New Roman"/>
          <w:color w:val="4C4C4C"/>
          <w:sz w:val="18"/>
          <w:szCs w:val="18"/>
          <w:lang w:eastAsia="fr-FR"/>
        </w:rPr>
        <w:t xml:space="preserve">s à l’attention </w:t>
      </w:r>
      <w:r w:rsidR="008B07D4">
        <w:rPr>
          <w:rFonts w:ascii="Verdana" w:eastAsia="Times New Roman" w:hAnsi="Verdana" w:cs="Times New Roman"/>
          <w:color w:val="4C4C4C"/>
          <w:sz w:val="18"/>
          <w:szCs w:val="18"/>
          <w:lang w:eastAsia="fr-FR"/>
        </w:rPr>
        <w:t xml:space="preserve">de GRDF. </w:t>
      </w:r>
    </w:p>
    <w:p w:rsidR="00796217" w:rsidRDefault="00796217" w:rsidP="00663C47">
      <w:pPr>
        <w:shd w:val="clear" w:color="auto" w:fill="FFFFFF"/>
        <w:spacing w:after="0" w:line="240" w:lineRule="auto"/>
        <w:rPr>
          <w:rFonts w:ascii="Verdana" w:eastAsia="Times New Roman" w:hAnsi="Verdana" w:cs="Times New Roman"/>
          <w:color w:val="4C4C4C"/>
          <w:sz w:val="18"/>
          <w:szCs w:val="18"/>
          <w:lang w:eastAsia="fr-FR"/>
        </w:rPr>
      </w:pPr>
    </w:p>
    <w:p w:rsidR="00796217" w:rsidRDefault="00796217" w:rsidP="00796217">
      <w:pPr>
        <w:shd w:val="clear" w:color="auto" w:fill="FFFFFF"/>
        <w:spacing w:after="0" w:line="240" w:lineRule="auto"/>
        <w:jc w:val="center"/>
        <w:rPr>
          <w:color w:val="000000" w:themeColor="text1"/>
        </w:rPr>
      </w:pPr>
      <w:r>
        <w:rPr>
          <w:color w:val="000000" w:themeColor="text1"/>
        </w:rPr>
        <w:t>GRDF</w:t>
      </w:r>
    </w:p>
    <w:p w:rsidR="00796217" w:rsidRPr="00796217" w:rsidRDefault="00796217" w:rsidP="00796217">
      <w:pPr>
        <w:shd w:val="clear" w:color="auto" w:fill="FFFFFF"/>
        <w:spacing w:after="0" w:line="240" w:lineRule="auto"/>
        <w:jc w:val="center"/>
        <w:rPr>
          <w:color w:val="000000" w:themeColor="text1"/>
          <w:lang w:val="en-US"/>
        </w:rPr>
      </w:pPr>
      <w:r w:rsidRPr="00796217">
        <w:rPr>
          <w:color w:val="000000" w:themeColor="text1"/>
          <w:lang w:val="en-US"/>
        </w:rPr>
        <w:t xml:space="preserve">10 </w:t>
      </w:r>
      <w:proofErr w:type="spellStart"/>
      <w:r w:rsidRPr="00796217">
        <w:rPr>
          <w:color w:val="000000" w:themeColor="text1"/>
          <w:lang w:val="en-US"/>
        </w:rPr>
        <w:t>Viaduc</w:t>
      </w:r>
      <w:proofErr w:type="spellEnd"/>
      <w:r w:rsidRPr="00796217">
        <w:rPr>
          <w:color w:val="000000" w:themeColor="text1"/>
          <w:lang w:val="en-US"/>
        </w:rPr>
        <w:t xml:space="preserve"> Kennedy</w:t>
      </w:r>
    </w:p>
    <w:p w:rsidR="00796217" w:rsidRPr="00796217" w:rsidRDefault="00796217" w:rsidP="00796217">
      <w:pPr>
        <w:shd w:val="clear" w:color="auto" w:fill="FFFFFF"/>
        <w:spacing w:after="0" w:line="240" w:lineRule="auto"/>
        <w:jc w:val="center"/>
        <w:rPr>
          <w:color w:val="000000" w:themeColor="text1"/>
          <w:lang w:val="en-US"/>
        </w:rPr>
      </w:pPr>
      <w:r w:rsidRPr="00796217">
        <w:rPr>
          <w:color w:val="000000" w:themeColor="text1"/>
          <w:lang w:val="en-US"/>
        </w:rPr>
        <w:t xml:space="preserve">BP50358 </w:t>
      </w:r>
    </w:p>
    <w:p w:rsidR="00796217" w:rsidRPr="00796217" w:rsidRDefault="00796217" w:rsidP="00796217">
      <w:pPr>
        <w:shd w:val="clear" w:color="auto" w:fill="FFFFFF"/>
        <w:spacing w:after="0" w:line="240" w:lineRule="auto"/>
        <w:jc w:val="center"/>
        <w:rPr>
          <w:rFonts w:ascii="Verdana" w:eastAsia="Times New Roman" w:hAnsi="Verdana" w:cs="Times New Roman"/>
          <w:color w:val="000000" w:themeColor="text1"/>
          <w:sz w:val="18"/>
          <w:szCs w:val="18"/>
          <w:lang w:val="en-US" w:eastAsia="fr-FR"/>
        </w:rPr>
      </w:pPr>
      <w:r w:rsidRPr="00796217">
        <w:rPr>
          <w:color w:val="000000" w:themeColor="text1"/>
          <w:lang w:val="en-US"/>
        </w:rPr>
        <w:t>54007 NANCY CEDEX</w:t>
      </w:r>
    </w:p>
    <w:p w:rsidR="008B07D4" w:rsidRPr="00796217" w:rsidRDefault="008B07D4" w:rsidP="00663C47">
      <w:pPr>
        <w:shd w:val="clear" w:color="auto" w:fill="FFFFFF"/>
        <w:spacing w:after="0" w:line="240" w:lineRule="auto"/>
        <w:rPr>
          <w:rFonts w:ascii="Verdana" w:eastAsia="Times New Roman" w:hAnsi="Verdana" w:cs="Times New Roman"/>
          <w:color w:val="4C4C4C"/>
          <w:sz w:val="18"/>
          <w:szCs w:val="18"/>
          <w:lang w:val="en-US" w:eastAsia="fr-FR"/>
        </w:rPr>
      </w:pPr>
    </w:p>
    <w:p w:rsidR="008B07D4" w:rsidRDefault="008B07D4" w:rsidP="00663C47">
      <w:pPr>
        <w:shd w:val="clear" w:color="auto" w:fill="FFFFFF"/>
        <w:spacing w:after="0" w:line="240" w:lineRule="auto"/>
        <w:rPr>
          <w:rFonts w:ascii="Verdana" w:eastAsia="Times New Roman" w:hAnsi="Verdana" w:cs="Times New Roman"/>
          <w:color w:val="4C4C4C"/>
          <w:sz w:val="18"/>
          <w:szCs w:val="18"/>
          <w:lang w:eastAsia="fr-FR"/>
        </w:rPr>
      </w:pPr>
      <w:r w:rsidRPr="008B07D4">
        <w:rPr>
          <w:rFonts w:ascii="Verdana" w:eastAsia="Times New Roman" w:hAnsi="Verdana" w:cs="Times New Roman"/>
          <w:b/>
          <w:bCs/>
          <w:color w:val="4C4C4C"/>
          <w:sz w:val="18"/>
          <w:szCs w:val="18"/>
          <w:lang w:eastAsia="fr-FR"/>
        </w:rPr>
        <w:t>Attention : le montant des redevances doit être arrondi à l'euro le plus proche</w:t>
      </w:r>
      <w:r>
        <w:rPr>
          <w:rFonts w:ascii="Verdana" w:eastAsia="Times New Roman" w:hAnsi="Verdana" w:cs="Times New Roman"/>
          <w:b/>
          <w:bCs/>
          <w:color w:val="4C4C4C"/>
          <w:sz w:val="18"/>
          <w:szCs w:val="18"/>
          <w:lang w:eastAsia="fr-FR"/>
        </w:rPr>
        <w:t>.</w:t>
      </w:r>
    </w:p>
    <w:sectPr w:rsidR="008B0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5D5C"/>
    <w:multiLevelType w:val="multilevel"/>
    <w:tmpl w:val="D164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B6FA0"/>
    <w:multiLevelType w:val="multilevel"/>
    <w:tmpl w:val="4E625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7768B"/>
    <w:multiLevelType w:val="multilevel"/>
    <w:tmpl w:val="1834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55F8F"/>
    <w:multiLevelType w:val="multilevel"/>
    <w:tmpl w:val="6A2E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95B53"/>
    <w:multiLevelType w:val="multilevel"/>
    <w:tmpl w:val="89169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F6B23"/>
    <w:multiLevelType w:val="multilevel"/>
    <w:tmpl w:val="B430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A7480C"/>
    <w:multiLevelType w:val="hybridMultilevel"/>
    <w:tmpl w:val="66621EA4"/>
    <w:lvl w:ilvl="0" w:tplc="040C0003">
      <w:start w:val="1"/>
      <w:numFmt w:val="bullet"/>
      <w:lvlText w:val="o"/>
      <w:lvlJc w:val="left"/>
      <w:pPr>
        <w:ind w:left="600" w:hanging="360"/>
      </w:pPr>
      <w:rPr>
        <w:rFonts w:ascii="Courier New" w:hAnsi="Courier New" w:cs="Courier New"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7" w15:restartNumberingAfterBreak="0">
    <w:nsid w:val="69BB7404"/>
    <w:multiLevelType w:val="hybridMultilevel"/>
    <w:tmpl w:val="A2C62556"/>
    <w:lvl w:ilvl="0" w:tplc="A216A9CA">
      <w:start w:val="1"/>
      <w:numFmt w:val="decimal"/>
      <w:lvlText w:val="%1."/>
      <w:lvlJc w:val="left"/>
      <w:pPr>
        <w:ind w:left="720" w:hanging="360"/>
      </w:pPr>
      <w:rPr>
        <w:rFonts w:ascii="Verdana" w:eastAsia="Times New Roman" w:hAnsi="Verdana" w:cs="Times New Roman"/>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A0"/>
    <w:rsid w:val="00003DAC"/>
    <w:rsid w:val="002A3AA7"/>
    <w:rsid w:val="00663C47"/>
    <w:rsid w:val="00700714"/>
    <w:rsid w:val="00796217"/>
    <w:rsid w:val="008060E3"/>
    <w:rsid w:val="008B07D4"/>
    <w:rsid w:val="008D2D9C"/>
    <w:rsid w:val="00C67BA0"/>
    <w:rsid w:val="00C74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BDDC2-A56B-46A9-B7B1-04809661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663C4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63C4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semiHidden/>
    <w:unhideWhenUsed/>
    <w:qFormat/>
    <w:rsid w:val="007007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63C4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63C47"/>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663C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63C47"/>
    <w:rPr>
      <w:b/>
      <w:bCs/>
    </w:rPr>
  </w:style>
  <w:style w:type="character" w:styleId="Accentuation">
    <w:name w:val="Emphasis"/>
    <w:basedOn w:val="Policepardfaut"/>
    <w:uiPriority w:val="20"/>
    <w:qFormat/>
    <w:rsid w:val="00663C47"/>
    <w:rPr>
      <w:i/>
      <w:iCs/>
    </w:rPr>
  </w:style>
  <w:style w:type="character" w:styleId="Lienhypertexte">
    <w:name w:val="Hyperlink"/>
    <w:basedOn w:val="Policepardfaut"/>
    <w:uiPriority w:val="99"/>
    <w:semiHidden/>
    <w:unhideWhenUsed/>
    <w:rsid w:val="00663C47"/>
    <w:rPr>
      <w:color w:val="0000FF"/>
      <w:u w:val="single"/>
    </w:rPr>
  </w:style>
  <w:style w:type="paragraph" w:styleId="Paragraphedeliste">
    <w:name w:val="List Paragraph"/>
    <w:basedOn w:val="Normal"/>
    <w:uiPriority w:val="34"/>
    <w:qFormat/>
    <w:rsid w:val="00663C47"/>
    <w:pPr>
      <w:ind w:left="720"/>
      <w:contextualSpacing/>
    </w:pPr>
  </w:style>
  <w:style w:type="character" w:customStyle="1" w:styleId="Titre5Car">
    <w:name w:val="Titre 5 Car"/>
    <w:basedOn w:val="Policepardfaut"/>
    <w:link w:val="Titre5"/>
    <w:uiPriority w:val="9"/>
    <w:semiHidden/>
    <w:rsid w:val="0070071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95546">
      <w:bodyDiv w:val="1"/>
      <w:marLeft w:val="0"/>
      <w:marRight w:val="0"/>
      <w:marTop w:val="0"/>
      <w:marBottom w:val="0"/>
      <w:divBdr>
        <w:top w:val="none" w:sz="0" w:space="0" w:color="auto"/>
        <w:left w:val="none" w:sz="0" w:space="0" w:color="auto"/>
        <w:bottom w:val="none" w:sz="0" w:space="0" w:color="auto"/>
        <w:right w:val="none" w:sz="0" w:space="0" w:color="auto"/>
      </w:divBdr>
    </w:div>
    <w:div w:id="19177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1710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FITON CHAVALLE</dc:creator>
  <cp:keywords/>
  <dc:description/>
  <cp:lastModifiedBy>Emilie FITON CHAVALLE</cp:lastModifiedBy>
  <cp:revision>2</cp:revision>
  <dcterms:created xsi:type="dcterms:W3CDTF">2019-03-22T14:12:00Z</dcterms:created>
  <dcterms:modified xsi:type="dcterms:W3CDTF">2019-03-22T14:12:00Z</dcterms:modified>
</cp:coreProperties>
</file>