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6DEB" w14:textId="0D920143" w:rsidR="00490CD5" w:rsidRPr="00037532" w:rsidRDefault="00490CD5" w:rsidP="00490CD5">
      <w:pPr>
        <w:jc w:val="center"/>
        <w:rPr>
          <w:b/>
          <w:i/>
          <w:sz w:val="26"/>
          <w:szCs w:val="26"/>
        </w:rPr>
      </w:pPr>
      <w:r w:rsidRPr="00037532">
        <w:rPr>
          <w:b/>
          <w:i/>
          <w:sz w:val="26"/>
          <w:szCs w:val="26"/>
        </w:rPr>
        <w:t xml:space="preserve">Modèle de délibération à prendre </w:t>
      </w:r>
      <w:r w:rsidR="001F024F" w:rsidRPr="00037532">
        <w:rPr>
          <w:b/>
          <w:i/>
          <w:sz w:val="26"/>
          <w:szCs w:val="26"/>
        </w:rPr>
        <w:t xml:space="preserve">lors </w:t>
      </w:r>
      <w:r w:rsidR="003E5112">
        <w:rPr>
          <w:b/>
          <w:i/>
          <w:sz w:val="26"/>
          <w:szCs w:val="26"/>
        </w:rPr>
        <w:t>du</w:t>
      </w:r>
      <w:r w:rsidR="001F024F" w:rsidRPr="00037532">
        <w:rPr>
          <w:b/>
          <w:i/>
          <w:sz w:val="26"/>
          <w:szCs w:val="26"/>
        </w:rPr>
        <w:t xml:space="preserve"> </w:t>
      </w:r>
      <w:r w:rsidR="00037532" w:rsidRPr="00037532">
        <w:rPr>
          <w:b/>
          <w:i/>
          <w:sz w:val="26"/>
          <w:szCs w:val="26"/>
        </w:rPr>
        <w:t>C</w:t>
      </w:r>
      <w:r w:rsidR="001F024F" w:rsidRPr="00037532">
        <w:rPr>
          <w:b/>
          <w:i/>
          <w:sz w:val="26"/>
          <w:szCs w:val="26"/>
        </w:rPr>
        <w:t>onseil communautaire</w:t>
      </w:r>
    </w:p>
    <w:p w14:paraId="14FECA0F" w14:textId="77777777" w:rsidR="008A2B12" w:rsidRPr="00037532" w:rsidRDefault="008A2B12" w:rsidP="008A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1134"/>
        <w:jc w:val="center"/>
        <w:rPr>
          <w:b/>
          <w:sz w:val="10"/>
          <w:szCs w:val="10"/>
        </w:rPr>
      </w:pPr>
    </w:p>
    <w:p w14:paraId="0D9A5454" w14:textId="77777777" w:rsidR="00490CD5" w:rsidRPr="00037532" w:rsidRDefault="0075280F" w:rsidP="008A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1134"/>
        <w:jc w:val="center"/>
        <w:rPr>
          <w:b/>
        </w:rPr>
      </w:pPr>
      <w:r w:rsidRPr="00037532">
        <w:rPr>
          <w:b/>
        </w:rPr>
        <w:t>Commission consultative</w:t>
      </w:r>
      <w:r w:rsidR="000321C4">
        <w:rPr>
          <w:b/>
        </w:rPr>
        <w:t xml:space="preserve"> paritaire « Energie » </w:t>
      </w:r>
      <w:r w:rsidRPr="00037532">
        <w:rPr>
          <w:b/>
        </w:rPr>
        <w:t xml:space="preserve"> SYDESL - EPCI</w:t>
      </w:r>
    </w:p>
    <w:p w14:paraId="74A1DACD" w14:textId="77777777" w:rsidR="00490CD5" w:rsidRPr="00037532" w:rsidRDefault="0075280F" w:rsidP="008A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 w:right="1134"/>
        <w:jc w:val="center"/>
        <w:rPr>
          <w:b/>
        </w:rPr>
      </w:pPr>
      <w:r w:rsidRPr="00037532">
        <w:rPr>
          <w:b/>
        </w:rPr>
        <w:t>Désignation d’un représentant titulaire et d’un suppléant</w:t>
      </w:r>
    </w:p>
    <w:p w14:paraId="0053E4D6" w14:textId="77777777" w:rsidR="00490CD5" w:rsidRPr="00037532" w:rsidRDefault="00490CD5" w:rsidP="0049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sz w:val="10"/>
          <w:szCs w:val="10"/>
        </w:rPr>
      </w:pPr>
    </w:p>
    <w:p w14:paraId="2D7E8AAF" w14:textId="77777777" w:rsidR="002E44EA" w:rsidRDefault="002E44EA" w:rsidP="00037532">
      <w:pPr>
        <w:pStyle w:val="Paragraphedeliste"/>
        <w:ind w:left="360"/>
        <w:jc w:val="both"/>
        <w:rPr>
          <w:rFonts w:asciiTheme="minorHAnsi" w:hAnsiTheme="minorHAnsi"/>
        </w:rPr>
      </w:pPr>
    </w:p>
    <w:p w14:paraId="6A9B241B" w14:textId="5A08D93F" w:rsidR="00703BC3" w:rsidRPr="002E44EA" w:rsidRDefault="00490CD5" w:rsidP="002E44EA">
      <w:pPr>
        <w:pStyle w:val="Paragraphedeliste"/>
        <w:ind w:left="360" w:firstLine="348"/>
        <w:jc w:val="both"/>
        <w:rPr>
          <w:rFonts w:asciiTheme="minorHAnsi" w:hAnsiTheme="minorHAnsi"/>
        </w:rPr>
      </w:pPr>
      <w:r w:rsidRPr="005C27A6">
        <w:rPr>
          <w:rFonts w:asciiTheme="minorHAnsi" w:hAnsiTheme="minorHAnsi" w:cstheme="minorBidi"/>
          <w:i/>
          <w:color w:val="0000FF"/>
        </w:rPr>
        <w:t>Le</w:t>
      </w:r>
      <w:r w:rsidRPr="002E44EA">
        <w:rPr>
          <w:rFonts w:asciiTheme="minorHAnsi" w:hAnsiTheme="minorHAnsi"/>
        </w:rPr>
        <w:t xml:space="preserve"> </w:t>
      </w:r>
      <w:r w:rsidR="00037532" w:rsidRPr="005C27A6">
        <w:rPr>
          <w:rFonts w:asciiTheme="minorHAnsi" w:hAnsiTheme="minorHAnsi" w:cstheme="minorBidi"/>
          <w:i/>
          <w:color w:val="0000FF"/>
        </w:rPr>
        <w:t>Président</w:t>
      </w:r>
      <w:r w:rsidR="005C27A6" w:rsidRPr="005C27A6">
        <w:rPr>
          <w:rFonts w:asciiTheme="minorHAnsi" w:hAnsiTheme="minorHAnsi" w:cstheme="minorBidi"/>
          <w:i/>
          <w:color w:val="0000FF"/>
        </w:rPr>
        <w:t>/la Présidente</w:t>
      </w:r>
      <w:r w:rsidRPr="005C27A6">
        <w:rPr>
          <w:rFonts w:asciiTheme="minorHAnsi" w:hAnsiTheme="minorHAnsi"/>
          <w:color w:val="0070C0"/>
        </w:rPr>
        <w:t xml:space="preserve"> </w:t>
      </w:r>
      <w:r w:rsidRPr="002E44EA">
        <w:rPr>
          <w:rFonts w:asciiTheme="minorHAnsi" w:hAnsiTheme="minorHAnsi"/>
        </w:rPr>
        <w:t xml:space="preserve">expose que </w:t>
      </w:r>
      <w:r w:rsidR="0075280F" w:rsidRPr="002E44EA">
        <w:rPr>
          <w:rFonts w:asciiTheme="minorHAnsi" w:hAnsiTheme="minorHAnsi"/>
        </w:rPr>
        <w:t>l</w:t>
      </w:r>
      <w:r w:rsidR="00703BC3" w:rsidRPr="002E44EA">
        <w:rPr>
          <w:rFonts w:asciiTheme="minorHAnsi" w:hAnsiTheme="minorHAnsi"/>
        </w:rPr>
        <w:t xml:space="preserve">a loi </w:t>
      </w:r>
      <w:r w:rsidR="001C4550" w:rsidRPr="002E44EA">
        <w:rPr>
          <w:rFonts w:asciiTheme="minorHAnsi" w:hAnsiTheme="minorHAnsi"/>
        </w:rPr>
        <w:t xml:space="preserve">n° 2015-992 du 17 août 2015 </w:t>
      </w:r>
      <w:r w:rsidR="00703BC3" w:rsidRPr="002E44EA">
        <w:rPr>
          <w:rFonts w:asciiTheme="minorHAnsi" w:hAnsiTheme="minorHAnsi"/>
        </w:rPr>
        <w:t>de transiti</w:t>
      </w:r>
      <w:r w:rsidR="00037532" w:rsidRPr="002E44EA">
        <w:rPr>
          <w:rFonts w:asciiTheme="minorHAnsi" w:hAnsiTheme="minorHAnsi"/>
        </w:rPr>
        <w:t>on énergétique promulguée le 18 </w:t>
      </w:r>
      <w:r w:rsidR="00703BC3" w:rsidRPr="002E44EA">
        <w:rPr>
          <w:rFonts w:asciiTheme="minorHAnsi" w:hAnsiTheme="minorHAnsi"/>
        </w:rPr>
        <w:t xml:space="preserve">août 2015 introduit </w:t>
      </w:r>
      <w:r w:rsidR="001C4550" w:rsidRPr="002E44EA">
        <w:rPr>
          <w:rFonts w:asciiTheme="minorHAnsi" w:hAnsiTheme="minorHAnsi"/>
        </w:rPr>
        <w:t xml:space="preserve">en son article 198 </w:t>
      </w:r>
      <w:r w:rsidR="00703BC3" w:rsidRPr="002E44EA">
        <w:rPr>
          <w:rFonts w:asciiTheme="minorHAnsi" w:hAnsiTheme="minorHAnsi"/>
        </w:rPr>
        <w:t xml:space="preserve">la création d’une commission consultative entre tout syndicat </w:t>
      </w:r>
      <w:r w:rsidR="00045028" w:rsidRPr="002E44EA">
        <w:rPr>
          <w:rFonts w:asciiTheme="minorHAnsi" w:hAnsiTheme="minorHAnsi"/>
        </w:rPr>
        <w:t>autorité organisatrice de la distribution publique d’électricité (</w:t>
      </w:r>
      <w:r w:rsidR="00703BC3" w:rsidRPr="002E44EA">
        <w:rPr>
          <w:rFonts w:asciiTheme="minorHAnsi" w:hAnsiTheme="minorHAnsi"/>
        </w:rPr>
        <w:t>AODE</w:t>
      </w:r>
      <w:r w:rsidR="00045028" w:rsidRPr="002E44EA">
        <w:rPr>
          <w:rFonts w:asciiTheme="minorHAnsi" w:hAnsiTheme="minorHAnsi"/>
        </w:rPr>
        <w:t>)</w:t>
      </w:r>
      <w:r w:rsidR="00703BC3" w:rsidRPr="002E44EA">
        <w:rPr>
          <w:rFonts w:asciiTheme="minorHAnsi" w:hAnsiTheme="minorHAnsi"/>
        </w:rPr>
        <w:t xml:space="preserve"> et l’ensemble des EPCI à fiscalité propre totalement ou partiellement inclus dans le périmètre du syndicat. </w:t>
      </w:r>
    </w:p>
    <w:p w14:paraId="5CC50170" w14:textId="173DF1B6" w:rsidR="00C21DD0" w:rsidRPr="002E44EA" w:rsidRDefault="003E5112" w:rsidP="002E44EA">
      <w:pPr>
        <w:pStyle w:val="Paragraphedeliste"/>
        <w:spacing w:after="0" w:line="240" w:lineRule="auto"/>
        <w:ind w:left="357" w:firstLine="3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S</w:t>
      </w:r>
      <w:r w:rsidR="005C27A6">
        <w:rPr>
          <w:rFonts w:asciiTheme="minorHAnsi" w:hAnsiTheme="minorHAnsi"/>
        </w:rPr>
        <w:t>yndicat Départemental d’Energie de Saône-et-Loire (S</w:t>
      </w:r>
      <w:r>
        <w:rPr>
          <w:rFonts w:asciiTheme="minorHAnsi" w:hAnsiTheme="minorHAnsi"/>
        </w:rPr>
        <w:t>YDESL</w:t>
      </w:r>
      <w:r w:rsidR="005C27A6">
        <w:rPr>
          <w:rFonts w:asciiTheme="minorHAnsi" w:hAnsiTheme="minorHAnsi"/>
        </w:rPr>
        <w:t>)</w:t>
      </w:r>
      <w:r w:rsidR="0075280F" w:rsidRPr="002E44EA">
        <w:rPr>
          <w:rFonts w:asciiTheme="minorHAnsi" w:hAnsiTheme="minorHAnsi"/>
        </w:rPr>
        <w:t xml:space="preserve"> </w:t>
      </w:r>
      <w:r w:rsidR="005C27A6">
        <w:rPr>
          <w:rFonts w:asciiTheme="minorHAnsi" w:hAnsiTheme="minorHAnsi"/>
        </w:rPr>
        <w:t xml:space="preserve">a instauré la Commission Consultative Paritaire « Energie » dès 2016. </w:t>
      </w:r>
    </w:p>
    <w:p w14:paraId="0CD51988" w14:textId="77777777" w:rsidR="0075280F" w:rsidRPr="002E44EA" w:rsidRDefault="0075280F" w:rsidP="001954C6">
      <w:pPr>
        <w:pStyle w:val="Paragraphedeliste"/>
        <w:spacing w:after="0" w:line="240" w:lineRule="auto"/>
        <w:ind w:left="357"/>
        <w:jc w:val="both"/>
        <w:rPr>
          <w:rFonts w:asciiTheme="minorHAnsi" w:hAnsiTheme="minorHAnsi"/>
          <w:sz w:val="16"/>
          <w:szCs w:val="16"/>
        </w:rPr>
      </w:pPr>
    </w:p>
    <w:p w14:paraId="664122D6" w14:textId="464400EC" w:rsidR="001E102B" w:rsidRPr="002E44EA" w:rsidRDefault="003E5112" w:rsidP="002E44EA">
      <w:pPr>
        <w:spacing w:after="0" w:line="240" w:lineRule="auto"/>
        <w:ind w:left="284"/>
        <w:jc w:val="both"/>
      </w:pPr>
      <w:r>
        <w:rPr>
          <w:u w:val="single"/>
        </w:rPr>
        <w:t>L</w:t>
      </w:r>
      <w:r w:rsidR="001E102B" w:rsidRPr="002E44EA">
        <w:rPr>
          <w:u w:val="single"/>
        </w:rPr>
        <w:t>a commission « Energie » :</w:t>
      </w:r>
    </w:p>
    <w:p w14:paraId="6BE260ED" w14:textId="77777777" w:rsidR="001E102B" w:rsidRPr="002E44EA" w:rsidRDefault="001E102B" w:rsidP="001E102B">
      <w:pPr>
        <w:pStyle w:val="Paragraphedeliste"/>
        <w:spacing w:after="0" w:line="240" w:lineRule="auto"/>
        <w:ind w:left="357"/>
        <w:jc w:val="both"/>
        <w:rPr>
          <w:rFonts w:asciiTheme="minorHAnsi" w:hAnsiTheme="minorHAnsi"/>
          <w:sz w:val="6"/>
          <w:szCs w:val="6"/>
        </w:rPr>
      </w:pPr>
    </w:p>
    <w:p w14:paraId="66AD6798" w14:textId="77777777" w:rsidR="001E102B" w:rsidRPr="002E44EA" w:rsidRDefault="001E102B" w:rsidP="001E102B">
      <w:pPr>
        <w:pStyle w:val="Paragraphedeliste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/>
        </w:rPr>
      </w:pPr>
      <w:r w:rsidRPr="002E44EA">
        <w:rPr>
          <w:rFonts w:asciiTheme="minorHAnsi" w:hAnsiTheme="minorHAnsi"/>
        </w:rPr>
        <w:t>La commission  doit coordonner l’action de ses membres dans le domaine de l’énergie, mettre en cohérence leurs politiques d’investissements et faciliter l’échange de données ;</w:t>
      </w:r>
    </w:p>
    <w:p w14:paraId="256C2A08" w14:textId="77777777" w:rsidR="001E102B" w:rsidRPr="002E44EA" w:rsidRDefault="001E102B" w:rsidP="001E102B">
      <w:pPr>
        <w:pStyle w:val="Paragraphedeliste"/>
        <w:spacing w:after="0" w:line="240" w:lineRule="auto"/>
        <w:ind w:left="851" w:hanging="284"/>
        <w:jc w:val="both"/>
        <w:rPr>
          <w:rFonts w:asciiTheme="minorHAnsi" w:hAnsiTheme="minorHAnsi"/>
          <w:sz w:val="6"/>
          <w:szCs w:val="6"/>
        </w:rPr>
      </w:pPr>
    </w:p>
    <w:p w14:paraId="41953964" w14:textId="77777777" w:rsidR="001E102B" w:rsidRPr="002E44EA" w:rsidRDefault="001E102B" w:rsidP="001E102B">
      <w:pPr>
        <w:pStyle w:val="Paragraphedeliste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/>
        </w:rPr>
      </w:pPr>
      <w:r w:rsidRPr="002E44EA">
        <w:rPr>
          <w:rFonts w:asciiTheme="minorHAnsi" w:hAnsiTheme="minorHAnsi"/>
        </w:rPr>
        <w:t>La commission comprend un nombre égal de délégués du syndicat et de représentants des établissements des EPCI, ces derniers disposant d’au moins un représentant ;</w:t>
      </w:r>
    </w:p>
    <w:p w14:paraId="14C78BEB" w14:textId="77777777" w:rsidR="001E102B" w:rsidRPr="002E44EA" w:rsidRDefault="001E102B" w:rsidP="001E102B">
      <w:pPr>
        <w:spacing w:after="0" w:line="240" w:lineRule="auto"/>
        <w:ind w:left="851" w:hanging="284"/>
        <w:jc w:val="both"/>
        <w:rPr>
          <w:rFonts w:cs="Times New Roman"/>
          <w:sz w:val="6"/>
          <w:szCs w:val="6"/>
        </w:rPr>
      </w:pPr>
    </w:p>
    <w:p w14:paraId="464F8100" w14:textId="77777777" w:rsidR="001E102B" w:rsidRPr="002E44EA" w:rsidRDefault="001E102B" w:rsidP="001E102B">
      <w:pPr>
        <w:pStyle w:val="Paragraphedeliste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Theme="minorHAnsi" w:hAnsiTheme="minorHAnsi"/>
        </w:rPr>
      </w:pPr>
      <w:r w:rsidRPr="002E44EA">
        <w:rPr>
          <w:rFonts w:asciiTheme="minorHAnsi" w:hAnsiTheme="minorHAnsi"/>
        </w:rPr>
        <w:t>Cette commission est présidée par le président du syndicat ou son représentant et se réunit au moins une fois par an ;</w:t>
      </w:r>
    </w:p>
    <w:p w14:paraId="25C9E654" w14:textId="77777777" w:rsidR="005C27A6" w:rsidRDefault="005C27A6" w:rsidP="008A2B12">
      <w:pPr>
        <w:spacing w:after="0" w:line="240" w:lineRule="auto"/>
        <w:jc w:val="both"/>
      </w:pPr>
    </w:p>
    <w:p w14:paraId="5D1479C3" w14:textId="680BBFCC" w:rsidR="00703BC3" w:rsidRPr="002E44EA" w:rsidRDefault="005C27A6" w:rsidP="005C27A6">
      <w:pPr>
        <w:spacing w:after="0" w:line="240" w:lineRule="auto"/>
        <w:ind w:left="284"/>
        <w:jc w:val="both"/>
        <w:rPr>
          <w:sz w:val="16"/>
          <w:szCs w:val="16"/>
        </w:rPr>
      </w:pPr>
      <w:r>
        <w:t xml:space="preserve">Le SYDESL </w:t>
      </w:r>
      <w:r w:rsidRPr="002E44EA">
        <w:t>nous demande de bien vouloir désigner un représentant titulaire et un suppléant.</w:t>
      </w:r>
    </w:p>
    <w:p w14:paraId="789ADC8B" w14:textId="77777777" w:rsidR="005C27A6" w:rsidRDefault="005C27A6" w:rsidP="001F024F">
      <w:pPr>
        <w:spacing w:after="0"/>
        <w:ind w:left="284"/>
        <w:jc w:val="both"/>
        <w:rPr>
          <w:rFonts w:eastAsia="Calibri"/>
        </w:rPr>
      </w:pPr>
    </w:p>
    <w:p w14:paraId="759020ED" w14:textId="043822C7" w:rsidR="00490CD5" w:rsidRPr="002E44EA" w:rsidRDefault="00490CD5" w:rsidP="001F024F">
      <w:pPr>
        <w:spacing w:after="0"/>
        <w:ind w:left="284"/>
        <w:jc w:val="both"/>
        <w:rPr>
          <w:rFonts w:eastAsia="Calibri"/>
        </w:rPr>
      </w:pPr>
      <w:r w:rsidRPr="002E44EA">
        <w:rPr>
          <w:rFonts w:eastAsia="Calibri"/>
        </w:rPr>
        <w:t>Cet exposé entendu et après en avoir délibéré,</w:t>
      </w:r>
    </w:p>
    <w:p w14:paraId="354C244D" w14:textId="77777777" w:rsidR="008A2B12" w:rsidRPr="002E44EA" w:rsidRDefault="00490CD5" w:rsidP="001F024F">
      <w:pPr>
        <w:spacing w:after="0"/>
        <w:ind w:left="284"/>
        <w:jc w:val="both"/>
      </w:pPr>
      <w:r w:rsidRPr="002E44EA">
        <w:t>Vu le</w:t>
      </w:r>
      <w:r w:rsidR="008A2B12" w:rsidRPr="002E44EA">
        <w:t xml:space="preserve"> code général des collectivités territoriales ;</w:t>
      </w:r>
    </w:p>
    <w:p w14:paraId="45196FB8" w14:textId="77777777" w:rsidR="00490CD5" w:rsidRPr="002E44EA" w:rsidRDefault="008A2B12" w:rsidP="001F024F">
      <w:pPr>
        <w:spacing w:after="0"/>
        <w:ind w:left="284"/>
        <w:jc w:val="both"/>
      </w:pPr>
      <w:r w:rsidRPr="002E44EA">
        <w:t>Vu la loi n° 2015-992 du 17 août 2015 de transition énergé</w:t>
      </w:r>
      <w:r w:rsidR="001F024F" w:rsidRPr="002E44EA">
        <w:t>tique</w:t>
      </w:r>
      <w:r w:rsidRPr="002E44EA">
        <w:t xml:space="preserve"> et notamment son article 198</w:t>
      </w:r>
      <w:r w:rsidR="00B6468E" w:rsidRPr="002E44EA">
        <w:t xml:space="preserve"> relatif à la </w:t>
      </w:r>
      <w:r w:rsidRPr="002E44EA">
        <w:t>création d’une commission de consultation avec les EPCI</w:t>
      </w:r>
      <w:r w:rsidR="001F024F" w:rsidRPr="002E44EA">
        <w:t xml:space="preserve"> à fiscalité propre</w:t>
      </w:r>
      <w:r w:rsidR="00601FEE" w:rsidRPr="002E44EA">
        <w:t>, transcrit à l’article L.2224-37-1 du CGCT</w:t>
      </w:r>
      <w:r w:rsidR="00490CD5" w:rsidRPr="002E44EA">
        <w:t> ;</w:t>
      </w:r>
    </w:p>
    <w:p w14:paraId="7BDFC633" w14:textId="77777777" w:rsidR="00601FEE" w:rsidRPr="002E44EA" w:rsidRDefault="00601FEE" w:rsidP="001F024F">
      <w:pPr>
        <w:spacing w:after="0"/>
        <w:ind w:left="284"/>
        <w:jc w:val="both"/>
      </w:pPr>
      <w:r w:rsidRPr="002E44EA">
        <w:t>Vu les statuts du SYDESL, et notamment sa compétence d’autorité organisatrice de la distribution publique d’électricité (AODE) ;</w:t>
      </w:r>
    </w:p>
    <w:p w14:paraId="52C382FE" w14:textId="21944360" w:rsidR="008A2B12" w:rsidRPr="002E44EA" w:rsidRDefault="008A2B12" w:rsidP="001F024F">
      <w:pPr>
        <w:spacing w:after="0"/>
        <w:ind w:left="284"/>
        <w:jc w:val="both"/>
      </w:pPr>
      <w:r w:rsidRPr="002E44EA">
        <w:t>Vu la demande de désignation de représentants de notre EPCI pour siéger au sein de cette commission ;</w:t>
      </w:r>
    </w:p>
    <w:p w14:paraId="31853CD7" w14:textId="77777777" w:rsidR="001F024F" w:rsidRPr="002E44EA" w:rsidRDefault="001F024F" w:rsidP="001F024F">
      <w:pPr>
        <w:spacing w:after="0"/>
        <w:ind w:left="284"/>
        <w:jc w:val="both"/>
      </w:pPr>
      <w:r w:rsidRPr="002E44EA">
        <w:t>Après en avoir appelé aux candidatures, et à l’issue d’un vote à bulletin secret ;</w:t>
      </w:r>
    </w:p>
    <w:p w14:paraId="5F7BD387" w14:textId="49E95D51" w:rsidR="00490CD5" w:rsidRPr="002E44EA" w:rsidRDefault="001F024F" w:rsidP="001F024F">
      <w:pPr>
        <w:spacing w:after="120"/>
        <w:ind w:left="284"/>
        <w:jc w:val="both"/>
        <w:rPr>
          <w:rFonts w:eastAsia="Calibri"/>
        </w:rPr>
      </w:pPr>
      <w:r w:rsidRPr="002E44EA">
        <w:rPr>
          <w:rFonts w:eastAsia="Calibri"/>
        </w:rPr>
        <w:t>Le</w:t>
      </w:r>
      <w:r w:rsidR="00490CD5" w:rsidRPr="002E44EA">
        <w:rPr>
          <w:rFonts w:eastAsia="Calibri"/>
        </w:rPr>
        <w:t xml:space="preserve"> Conseil </w:t>
      </w:r>
      <w:r w:rsidR="003E5112">
        <w:rPr>
          <w:rFonts w:eastAsia="Calibri"/>
        </w:rPr>
        <w:t>Communautaire</w:t>
      </w:r>
      <w:r w:rsidR="00490CD5" w:rsidRPr="002E44EA">
        <w:rPr>
          <w:rFonts w:eastAsia="Calibri"/>
        </w:rPr>
        <w:t xml:space="preserve">, </w:t>
      </w:r>
      <w:r w:rsidR="00490CD5" w:rsidRPr="002E44EA">
        <w:rPr>
          <w:rFonts w:eastAsia="Calibri"/>
          <w:b/>
        </w:rPr>
        <w:t>à l’unanimité,</w:t>
      </w:r>
      <w:r w:rsidR="00490CD5" w:rsidRPr="002E44EA">
        <w:rPr>
          <w:rFonts w:eastAsia="Calibri"/>
        </w:rPr>
        <w:t xml:space="preserve"> décide :</w:t>
      </w:r>
    </w:p>
    <w:p w14:paraId="2C6ED090" w14:textId="77777777" w:rsidR="001F024F" w:rsidRPr="002E44EA" w:rsidRDefault="001F024F" w:rsidP="00490CD5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2E44EA">
        <w:rPr>
          <w:rFonts w:eastAsia="Calibri"/>
        </w:rPr>
        <w:t xml:space="preserve">d’élire M </w:t>
      </w:r>
      <w:r w:rsidRPr="002E44EA">
        <w:rPr>
          <w:rFonts w:eastAsia="Calibri"/>
          <w:i/>
          <w:color w:val="0000FF"/>
        </w:rPr>
        <w:t>XXX</w:t>
      </w:r>
      <w:r w:rsidRPr="002E44EA">
        <w:rPr>
          <w:rFonts w:eastAsia="Calibri"/>
        </w:rPr>
        <w:t xml:space="preserve"> </w:t>
      </w:r>
      <w:r w:rsidR="00037532" w:rsidRPr="002E44EA">
        <w:rPr>
          <w:rFonts w:eastAsia="Calibri"/>
        </w:rPr>
        <w:t xml:space="preserve">et </w:t>
      </w:r>
      <w:r w:rsidRPr="002E44EA">
        <w:rPr>
          <w:rFonts w:eastAsia="Calibri"/>
          <w:i/>
          <w:color w:val="0000FF"/>
        </w:rPr>
        <w:t xml:space="preserve">YYY </w:t>
      </w:r>
      <w:r w:rsidR="00601FEE" w:rsidRPr="002E44EA">
        <w:rPr>
          <w:rFonts w:eastAsia="Calibri"/>
        </w:rPr>
        <w:t>pour</w:t>
      </w:r>
      <w:r w:rsidRPr="002E44EA">
        <w:rPr>
          <w:rFonts w:eastAsia="Calibri"/>
        </w:rPr>
        <w:t xml:space="preserve"> siéger en qualité de titulaire ;</w:t>
      </w:r>
    </w:p>
    <w:p w14:paraId="3243FB15" w14:textId="77777777" w:rsidR="001F024F" w:rsidRDefault="001F024F" w:rsidP="00490CD5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2E44EA">
        <w:rPr>
          <w:rFonts w:eastAsia="Calibri"/>
        </w:rPr>
        <w:t xml:space="preserve">d’élire M </w:t>
      </w:r>
      <w:r w:rsidRPr="002E44EA">
        <w:rPr>
          <w:rFonts w:eastAsia="Calibri"/>
          <w:i/>
          <w:color w:val="0000FF"/>
        </w:rPr>
        <w:t xml:space="preserve">WWW </w:t>
      </w:r>
      <w:r w:rsidR="00037532" w:rsidRPr="002E44EA">
        <w:rPr>
          <w:rFonts w:eastAsia="Calibri"/>
        </w:rPr>
        <w:t xml:space="preserve">et </w:t>
      </w:r>
      <w:r w:rsidRPr="002E44EA">
        <w:rPr>
          <w:rFonts w:eastAsia="Calibri"/>
          <w:i/>
          <w:color w:val="0000FF"/>
        </w:rPr>
        <w:t xml:space="preserve">ZZZ </w:t>
      </w:r>
      <w:r w:rsidR="00601FEE" w:rsidRPr="002E44EA">
        <w:rPr>
          <w:rFonts w:eastAsia="Calibri"/>
        </w:rPr>
        <w:t>pour</w:t>
      </w:r>
      <w:r w:rsidRPr="002E44EA">
        <w:rPr>
          <w:rFonts w:eastAsia="Calibri"/>
        </w:rPr>
        <w:t xml:space="preserve"> siéger en qualité de suppléant.</w:t>
      </w:r>
    </w:p>
    <w:p w14:paraId="75041524" w14:textId="77777777" w:rsidR="002E44EA" w:rsidRPr="002E44EA" w:rsidRDefault="002E44EA" w:rsidP="002E44EA">
      <w:pPr>
        <w:spacing w:after="0" w:line="240" w:lineRule="auto"/>
        <w:jc w:val="both"/>
        <w:rPr>
          <w:rFonts w:eastAsia="Calibri"/>
        </w:rPr>
      </w:pPr>
    </w:p>
    <w:p w14:paraId="38ABEEFA" w14:textId="77777777" w:rsidR="001F024F" w:rsidRPr="002E44EA" w:rsidRDefault="001F024F" w:rsidP="001F024F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14:paraId="36FBD20D" w14:textId="77777777" w:rsidR="00601FEE" w:rsidRPr="002E44EA" w:rsidRDefault="00490CD5" w:rsidP="00601FEE">
      <w:pPr>
        <w:tabs>
          <w:tab w:val="center" w:pos="6237"/>
        </w:tabs>
        <w:spacing w:after="0"/>
        <w:ind w:left="720"/>
        <w:rPr>
          <w:rFonts w:eastAsia="Times"/>
        </w:rPr>
      </w:pPr>
      <w:r w:rsidRPr="002E44EA">
        <w:rPr>
          <w:rFonts w:eastAsia="Times"/>
        </w:rPr>
        <w:tab/>
        <w:t>Fait en séance les jour, mois et an que dessus,</w:t>
      </w:r>
    </w:p>
    <w:p w14:paraId="75B5FF68" w14:textId="77777777" w:rsidR="00D25272" w:rsidRPr="002E44EA" w:rsidRDefault="00490CD5" w:rsidP="00601FEE">
      <w:pPr>
        <w:tabs>
          <w:tab w:val="center" w:pos="6237"/>
        </w:tabs>
        <w:spacing w:after="0"/>
        <w:ind w:left="720"/>
      </w:pPr>
      <w:r w:rsidRPr="002E44EA">
        <w:tab/>
        <w:t xml:space="preserve">Le </w:t>
      </w:r>
      <w:r w:rsidR="00037532" w:rsidRPr="002E44EA">
        <w:t>Président</w:t>
      </w:r>
      <w:r w:rsidRPr="002E44EA">
        <w:t>,</w:t>
      </w:r>
      <w:r w:rsidR="00D25272" w:rsidRPr="002E44EA">
        <w:br w:type="page"/>
      </w:r>
    </w:p>
    <w:p w14:paraId="62142BF2" w14:textId="77777777" w:rsidR="009E74F6" w:rsidRPr="00F94754" w:rsidRDefault="009E74F6">
      <w:pPr>
        <w:rPr>
          <w:color w:val="C00000"/>
        </w:rPr>
      </w:pPr>
    </w:p>
    <w:p w14:paraId="3AE6C3CC" w14:textId="77777777" w:rsidR="00045028" w:rsidRPr="00037532" w:rsidRDefault="001C4550" w:rsidP="00D25272">
      <w:pPr>
        <w:spacing w:after="0" w:line="240" w:lineRule="auto"/>
        <w:ind w:left="79" w:right="229"/>
        <w:jc w:val="center"/>
        <w:rPr>
          <w:b/>
          <w:sz w:val="24"/>
          <w:szCs w:val="24"/>
        </w:rPr>
      </w:pPr>
      <w:r w:rsidRPr="00037532">
        <w:rPr>
          <w:b/>
          <w:sz w:val="24"/>
          <w:szCs w:val="24"/>
        </w:rPr>
        <w:t>LOI n°</w:t>
      </w:r>
      <w:r w:rsidR="00045028" w:rsidRPr="00037532">
        <w:rPr>
          <w:b/>
          <w:sz w:val="24"/>
          <w:szCs w:val="24"/>
        </w:rPr>
        <w:t xml:space="preserve"> 2015-992 du 17 août 2015 </w:t>
      </w:r>
    </w:p>
    <w:p w14:paraId="41F23DA1" w14:textId="77777777" w:rsidR="00045028" w:rsidRPr="00037532" w:rsidRDefault="00045028" w:rsidP="00D25272">
      <w:pPr>
        <w:spacing w:after="0" w:line="240" w:lineRule="auto"/>
        <w:ind w:left="79" w:right="229"/>
        <w:jc w:val="center"/>
        <w:rPr>
          <w:b/>
          <w:sz w:val="24"/>
          <w:szCs w:val="24"/>
        </w:rPr>
      </w:pPr>
      <w:r w:rsidRPr="00037532">
        <w:rPr>
          <w:b/>
          <w:sz w:val="24"/>
          <w:szCs w:val="24"/>
        </w:rPr>
        <w:t xml:space="preserve">relative à la transition énergétique pour la croissance verte (1) </w:t>
      </w:r>
    </w:p>
    <w:p w14:paraId="05331F23" w14:textId="77777777" w:rsidR="00045028" w:rsidRPr="00037532" w:rsidRDefault="00045028" w:rsidP="00D25272">
      <w:pPr>
        <w:spacing w:after="0" w:line="240" w:lineRule="auto"/>
        <w:ind w:left="79" w:right="229"/>
        <w:jc w:val="center"/>
      </w:pPr>
      <w:r w:rsidRPr="00037532">
        <w:t>NOR : DEVX1413992L</w:t>
      </w:r>
    </w:p>
    <w:p w14:paraId="153E266F" w14:textId="77777777" w:rsidR="00A35225" w:rsidRPr="00037532" w:rsidRDefault="00A35225" w:rsidP="00D25272">
      <w:pPr>
        <w:spacing w:after="0" w:line="240" w:lineRule="auto"/>
        <w:ind w:left="79" w:right="229"/>
        <w:jc w:val="center"/>
      </w:pPr>
    </w:p>
    <w:p w14:paraId="0C5523F4" w14:textId="77777777" w:rsidR="00A35225" w:rsidRPr="00037532" w:rsidRDefault="00A35225" w:rsidP="00D25272">
      <w:pPr>
        <w:spacing w:after="0" w:line="240" w:lineRule="auto"/>
        <w:ind w:left="79" w:right="229"/>
        <w:jc w:val="center"/>
        <w:rPr>
          <w:b/>
        </w:rPr>
      </w:pPr>
      <w:r w:rsidRPr="00037532">
        <w:rPr>
          <w:b/>
        </w:rPr>
        <w:t>Article 198</w:t>
      </w:r>
    </w:p>
    <w:p w14:paraId="395100E3" w14:textId="77777777" w:rsidR="00045028" w:rsidRPr="00037532" w:rsidRDefault="00045028" w:rsidP="00D25272">
      <w:pPr>
        <w:spacing w:after="0" w:line="240" w:lineRule="auto"/>
        <w:ind w:left="79" w:right="22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739BD59C" w14:textId="77777777" w:rsidR="00A35225" w:rsidRPr="00037532" w:rsidRDefault="00045028" w:rsidP="004A6B5B">
      <w:pPr>
        <w:pStyle w:val="Paragraphedeliste"/>
        <w:numPr>
          <w:ilvl w:val="0"/>
          <w:numId w:val="3"/>
        </w:numPr>
        <w:tabs>
          <w:tab w:val="left" w:pos="284"/>
        </w:tabs>
        <w:ind w:left="142" w:hanging="87"/>
      </w:pPr>
      <w:r w:rsidRPr="00037532">
        <w:t xml:space="preserve">– La section 6 du chapitre IV du titre II du livre II de la deuxième partie du code général des collectivités territoriales est ainsi modifiée : </w:t>
      </w:r>
    </w:p>
    <w:p w14:paraId="3C5EB703" w14:textId="77777777" w:rsidR="00045028" w:rsidRPr="00037532" w:rsidRDefault="00045028" w:rsidP="00A35225">
      <w:r w:rsidRPr="00037532">
        <w:t>1</w:t>
      </w:r>
      <w:r w:rsidR="00A35225" w:rsidRPr="00037532">
        <w:t>°)</w:t>
      </w:r>
      <w:r w:rsidRPr="00037532">
        <w:t xml:space="preserve"> L’intitulé est ainsi rédigé : « Energie » ; </w:t>
      </w:r>
    </w:p>
    <w:p w14:paraId="189FB2F4" w14:textId="77777777" w:rsidR="00A35225" w:rsidRPr="00037532" w:rsidRDefault="00A35225" w:rsidP="00A35225">
      <w:pPr>
        <w:spacing w:after="100"/>
      </w:pPr>
      <w:r w:rsidRPr="00037532">
        <w:t xml:space="preserve">2°) </w:t>
      </w:r>
      <w:r w:rsidR="00045028" w:rsidRPr="00037532">
        <w:t xml:space="preserve">Il est ajouté un article L. 2224-37-1 ainsi rédigé : </w:t>
      </w:r>
    </w:p>
    <w:p w14:paraId="41A0EB58" w14:textId="77777777" w:rsidR="00045028" w:rsidRPr="00037532" w:rsidRDefault="00045028">
      <w:r w:rsidRPr="00037532">
        <w:t xml:space="preserve">« Art. L. 2224-37-1. – Une commission consultative est créée entre tout syndicat exerçant la compétence mentionnée au deuxième alinéa du IV de l’article L. 2224-31 et l’ensemble des établissements publics de coopération intercommunale à fiscalité propre totalement ou partiellement inclus dans le périmètre du syndicat. </w:t>
      </w:r>
    </w:p>
    <w:p w14:paraId="55716B5B" w14:textId="77777777" w:rsidR="00045028" w:rsidRPr="00037532" w:rsidRDefault="00045028">
      <w:r w:rsidRPr="00037532">
        <w:t>Cette commission coordonne l’action de ses membres dans le domaine de l’énergie, met en cohérence leurs politiques d’investissement et facilite l’échange de données.</w:t>
      </w:r>
    </w:p>
    <w:p w14:paraId="7B305A78" w14:textId="3BCC4E6C" w:rsidR="00045028" w:rsidRPr="00037532" w:rsidRDefault="00045028">
      <w:r w:rsidRPr="00037532">
        <w:t xml:space="preserve"> « La commission comprend un nombre égal de délégués du syndicat et de représentants des établissements publics de coopération intercommunale. Chacun de ces établissements dispose d’au moins un représentant. « Elle est présidée par le président du syndicat ou son représentant et se réunit au moins une fois par an, à l’initiative de son président ou de la moitié au moins de ses membres. « Un membre de la commission consultative, nommé parmi les représentants des établissements publics de coopération intercommunale, est associé à la représentation du syndicat à la conférence départementale mentionnée au troisième alinéa du I du même article L. 2224-31.</w:t>
      </w:r>
      <w:r w:rsidR="004A6B5B">
        <w:t> »</w:t>
      </w:r>
      <w:r w:rsidRPr="00037532">
        <w:t xml:space="preserve"> </w:t>
      </w:r>
    </w:p>
    <w:p w14:paraId="090BBAB0" w14:textId="77777777" w:rsidR="00045028" w:rsidRPr="00037532" w:rsidRDefault="00045028">
      <w:r w:rsidRPr="00037532">
        <w:t>Après la création de la commission, le syndicat peut assurer, à la demande et pour le compte d’un ou de plusieurs établissements publics de coopération intercommunale à fiscalité propre qui en sont membres, l’élaboration du plan climat-air-énergie territorial mentionné à l’article L. 229-26 du code de l’environnement, ainsi que la réalisation d’actions dans le domaine de l’efficacité énergétique. »</w:t>
      </w:r>
    </w:p>
    <w:p w14:paraId="2205A69D" w14:textId="77777777" w:rsidR="00045028" w:rsidRPr="00037532" w:rsidRDefault="00045028">
      <w:r w:rsidRPr="00037532">
        <w:t xml:space="preserve"> II. – La commission consultative prévue à l’article L. 2224-37-1 du code général des collectivités territoriales est créée avant le 1er janvier 2016. A défaut, et jusqu’à ce que cette commission soit créée, le syndicat mentionné au même article L. 2224-37-1 ne peut exercer les compétences mentionnées aux articles L. 2224-33, L. 2224-36 et L. 2224-37 du même code. </w:t>
      </w:r>
    </w:p>
    <w:p w14:paraId="4DD5A31C" w14:textId="77777777" w:rsidR="00D25272" w:rsidRPr="00037532" w:rsidRDefault="00045028">
      <w:r w:rsidRPr="00037532">
        <w:t>III. – Le premier alinéa de l’article L. 5722-8 du même code est complété par les mots : « lorsqu’ils exercent la compétence mentionnée au premier alinéa de cet article L. 5212-24 ».</w:t>
      </w:r>
    </w:p>
    <w:p w14:paraId="17DF4D5B" w14:textId="77777777" w:rsidR="00045028" w:rsidRPr="00037532" w:rsidRDefault="00045028"/>
    <w:p w14:paraId="6CA749EA" w14:textId="77777777" w:rsidR="00045028" w:rsidRPr="00F94754" w:rsidRDefault="00045028">
      <w:pPr>
        <w:rPr>
          <w:color w:val="C00000"/>
        </w:rPr>
      </w:pPr>
    </w:p>
    <w:sectPr w:rsidR="00045028" w:rsidRPr="00F94754" w:rsidSect="00601FE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A44"/>
    <w:multiLevelType w:val="hybridMultilevel"/>
    <w:tmpl w:val="43E66154"/>
    <w:lvl w:ilvl="0" w:tplc="4E0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17DF"/>
    <w:multiLevelType w:val="hybridMultilevel"/>
    <w:tmpl w:val="E2A69052"/>
    <w:lvl w:ilvl="0" w:tplc="2BC0E9E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3F2"/>
    <w:multiLevelType w:val="hybridMultilevel"/>
    <w:tmpl w:val="26225510"/>
    <w:lvl w:ilvl="0" w:tplc="84DECC02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05363D"/>
    <w:multiLevelType w:val="hybridMultilevel"/>
    <w:tmpl w:val="1E203BCC"/>
    <w:lvl w:ilvl="0" w:tplc="2BC0E9E2">
      <w:start w:val="1"/>
      <w:numFmt w:val="bullet"/>
      <w:lvlText w:val="s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0D05E84"/>
    <w:multiLevelType w:val="hybridMultilevel"/>
    <w:tmpl w:val="12824B62"/>
    <w:lvl w:ilvl="0" w:tplc="1E4CD0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221F69"/>
    <w:multiLevelType w:val="hybridMultilevel"/>
    <w:tmpl w:val="C5DCFCCC"/>
    <w:lvl w:ilvl="0" w:tplc="C03E9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3"/>
    <w:rsid w:val="000321C4"/>
    <w:rsid w:val="00037532"/>
    <w:rsid w:val="00045028"/>
    <w:rsid w:val="000A2F6B"/>
    <w:rsid w:val="001954C6"/>
    <w:rsid w:val="001C4550"/>
    <w:rsid w:val="001E102B"/>
    <w:rsid w:val="001F024F"/>
    <w:rsid w:val="00222C3A"/>
    <w:rsid w:val="002E44EA"/>
    <w:rsid w:val="003E5112"/>
    <w:rsid w:val="00451A93"/>
    <w:rsid w:val="00490CD5"/>
    <w:rsid w:val="004A6B5B"/>
    <w:rsid w:val="005C27A6"/>
    <w:rsid w:val="00601FEE"/>
    <w:rsid w:val="006356F0"/>
    <w:rsid w:val="00703BC3"/>
    <w:rsid w:val="0075280F"/>
    <w:rsid w:val="00771EF3"/>
    <w:rsid w:val="008A2B12"/>
    <w:rsid w:val="009E74F6"/>
    <w:rsid w:val="00A15744"/>
    <w:rsid w:val="00A35225"/>
    <w:rsid w:val="00B6468E"/>
    <w:rsid w:val="00C21DD0"/>
    <w:rsid w:val="00C24533"/>
    <w:rsid w:val="00D25272"/>
    <w:rsid w:val="00D9442A"/>
    <w:rsid w:val="00F032C1"/>
    <w:rsid w:val="00F82841"/>
    <w:rsid w:val="00F94754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1EB7"/>
  <w15:docId w15:val="{BDE53F8D-322D-4A17-8619-D21508F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90CD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BC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25272"/>
    <w:pPr>
      <w:spacing w:before="100" w:beforeAutospacing="1" w:after="100" w:afterAutospacing="1" w:line="240" w:lineRule="auto"/>
      <w:ind w:left="75" w:right="22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mend">
    <w:name w:val="titreamend"/>
    <w:basedOn w:val="Normal"/>
    <w:rsid w:val="00D25272"/>
    <w:pPr>
      <w:spacing w:before="150" w:after="100" w:afterAutospacing="1" w:line="240" w:lineRule="auto"/>
      <w:ind w:left="75" w:right="225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amddispotitre">
    <w:name w:val="amddispotitre"/>
    <w:basedOn w:val="Normal"/>
    <w:rsid w:val="00D25272"/>
    <w:pPr>
      <w:spacing w:before="100" w:beforeAutospacing="1" w:after="100" w:afterAutospacing="1" w:line="240" w:lineRule="auto"/>
      <w:ind w:left="75" w:right="225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amdexpotitre">
    <w:name w:val="amdexpotitre"/>
    <w:basedOn w:val="Normal"/>
    <w:rsid w:val="00D25272"/>
    <w:pPr>
      <w:spacing w:before="450" w:after="100" w:afterAutospacing="1" w:line="240" w:lineRule="auto"/>
      <w:ind w:left="75" w:right="22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resente">
    <w:name w:val="presente"/>
    <w:basedOn w:val="Normal"/>
    <w:rsid w:val="00D25272"/>
    <w:pPr>
      <w:spacing w:before="100" w:beforeAutospacing="1" w:after="100" w:afterAutospacing="1" w:line="240" w:lineRule="auto"/>
      <w:ind w:left="75" w:right="225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numamendement1">
    <w:name w:val="numamendement1"/>
    <w:basedOn w:val="Policepardfaut"/>
    <w:rsid w:val="00D25272"/>
    <w:rPr>
      <w:b/>
      <w:bCs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490CD5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Jolicadre">
    <w:name w:val="Jolicadre"/>
    <w:basedOn w:val="Normal"/>
    <w:next w:val="Normal"/>
    <w:rsid w:val="00490CD5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ind w:left="2268" w:right="2268"/>
      <w:textAlignment w:val="baseline"/>
    </w:pPr>
    <w:rPr>
      <w:rFonts w:ascii="Arial" w:eastAsia="Times New Roman" w:hAnsi="Arial" w:cs="Times New Roman"/>
      <w:b/>
      <w:spacing w:val="100"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013">
          <w:marLeft w:val="4"/>
          <w:marRight w:val="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PUGEAUT</dc:creator>
  <cp:lastModifiedBy>Emilie FITON CHAVALLE</cp:lastModifiedBy>
  <cp:revision>6</cp:revision>
  <cp:lastPrinted>2015-11-12T12:00:00Z</cp:lastPrinted>
  <dcterms:created xsi:type="dcterms:W3CDTF">2020-07-08T14:24:00Z</dcterms:created>
  <dcterms:modified xsi:type="dcterms:W3CDTF">2020-07-08T15:05:00Z</dcterms:modified>
</cp:coreProperties>
</file>